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6C" w:rsidRPr="0001366C" w:rsidRDefault="0001366C" w:rsidP="0001366C">
      <w:pPr>
        <w:ind w:left="1701" w:right="1445"/>
        <w:jc w:val="both"/>
        <w:rPr>
          <w:sz w:val="22"/>
        </w:rPr>
      </w:pPr>
      <w:r w:rsidRPr="0001366C"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C1ED12" wp14:editId="4AB0859C">
                <wp:simplePos x="0" y="0"/>
                <wp:positionH relativeFrom="column">
                  <wp:posOffset>3337560</wp:posOffset>
                </wp:positionH>
                <wp:positionV relativeFrom="paragraph">
                  <wp:posOffset>489585</wp:posOffset>
                </wp:positionV>
                <wp:extent cx="2472055" cy="1796415"/>
                <wp:effectExtent l="10795" t="11430" r="1270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66C" w:rsidRDefault="0001366C" w:rsidP="0001366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62.8pt;margin-top:38.55pt;width:194.65pt;height:1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" o:allowincell="f" strokecolor="white">
                <v:textbox>
                  <w:txbxContent>
                    <w:p w:rsidR="0001366C" w:rsidRDefault="0001366C" w:rsidP="0001366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366C">
        <w:rPr>
          <w:sz w:val="22"/>
        </w:rPr>
        <w:t xml:space="preserve">     </w:t>
      </w:r>
      <w:r w:rsidRPr="0001366C">
        <w:rPr>
          <w:noProof/>
          <w:sz w:val="22"/>
        </w:rPr>
        <w:drawing>
          <wp:inline distT="0" distB="0" distL="0" distR="0" wp14:anchorId="31626899" wp14:editId="2753854F">
            <wp:extent cx="428625" cy="53340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6C" w:rsidRPr="0001366C" w:rsidRDefault="0001366C" w:rsidP="0001366C">
      <w:pPr>
        <w:pStyle w:val="9"/>
        <w:tabs>
          <w:tab w:val="left" w:pos="5319"/>
        </w:tabs>
        <w:spacing w:before="0" w:line="240" w:lineRule="auto"/>
        <w:jc w:val="both"/>
        <w:rPr>
          <w:rFonts w:ascii="Times New Roman" w:hAnsi="Times New Roman" w:cs="Times New Roman"/>
          <w:b/>
          <w:bCs/>
          <w:spacing w:val="-20"/>
          <w:sz w:val="24"/>
          <w:szCs w:val="28"/>
        </w:rPr>
      </w:pPr>
      <w:r w:rsidRPr="0001366C">
        <w:rPr>
          <w:rFonts w:ascii="Times New Roman" w:hAnsi="Times New Roman" w:cs="Times New Roman"/>
          <w:b/>
          <w:bCs/>
          <w:spacing w:val="-20"/>
          <w:sz w:val="24"/>
          <w:szCs w:val="28"/>
        </w:rPr>
        <w:t xml:space="preserve">                       </w:t>
      </w:r>
      <w:r w:rsidRPr="0001366C">
        <w:rPr>
          <w:rFonts w:ascii="Times New Roman" w:hAnsi="Times New Roman" w:cs="Times New Roman"/>
          <w:b/>
          <w:bCs/>
          <w:i w:val="0"/>
          <w:spacing w:val="-20"/>
          <w:sz w:val="24"/>
          <w:szCs w:val="28"/>
        </w:rPr>
        <w:t>АДМИНИСТРАЦИЯ</w:t>
      </w:r>
    </w:p>
    <w:p w:rsidR="0001366C" w:rsidRPr="0001366C" w:rsidRDefault="0001366C" w:rsidP="0001366C">
      <w:pPr>
        <w:jc w:val="both"/>
        <w:rPr>
          <w:b/>
          <w:spacing w:val="-20"/>
        </w:rPr>
      </w:pPr>
      <w:r w:rsidRPr="0001366C">
        <w:rPr>
          <w:b/>
          <w:spacing w:val="-20"/>
        </w:rPr>
        <w:t>МУНИЦИПАЛЬНОГО  ОБРАЗОВАНИЯ</w:t>
      </w:r>
    </w:p>
    <w:p w:rsidR="0001366C" w:rsidRPr="0001366C" w:rsidRDefault="0001366C" w:rsidP="0001366C">
      <w:pPr>
        <w:jc w:val="both"/>
        <w:rPr>
          <w:spacing w:val="-20"/>
          <w:sz w:val="22"/>
        </w:rPr>
      </w:pPr>
      <w:r w:rsidRPr="0001366C">
        <w:rPr>
          <w:b/>
          <w:spacing w:val="-20"/>
        </w:rPr>
        <w:t xml:space="preserve">                БУЗУЛУКСКИЙ РАЙОН</w:t>
      </w:r>
    </w:p>
    <w:p w:rsidR="0001366C" w:rsidRPr="0001366C" w:rsidRDefault="0001366C" w:rsidP="0001366C">
      <w:pPr>
        <w:tabs>
          <w:tab w:val="left" w:pos="3969"/>
          <w:tab w:val="left" w:pos="5319"/>
        </w:tabs>
        <w:jc w:val="both"/>
        <w:rPr>
          <w:spacing w:val="-20"/>
          <w:sz w:val="22"/>
        </w:rPr>
      </w:pPr>
      <w:r w:rsidRPr="0001366C">
        <w:rPr>
          <w:b/>
          <w:bCs/>
          <w:spacing w:val="-20"/>
        </w:rPr>
        <w:t xml:space="preserve">           ОРЕНБУРГСКОЙ  ОБЛАСТИ</w:t>
      </w:r>
    </w:p>
    <w:p w:rsidR="0001366C" w:rsidRPr="0001366C" w:rsidRDefault="0001366C" w:rsidP="0001366C">
      <w:pPr>
        <w:tabs>
          <w:tab w:val="left" w:pos="3969"/>
          <w:tab w:val="left" w:pos="5319"/>
        </w:tabs>
        <w:ind w:right="34"/>
        <w:jc w:val="both"/>
        <w:rPr>
          <w:b/>
        </w:rPr>
      </w:pPr>
      <w:r w:rsidRPr="0001366C">
        <w:rPr>
          <w:b/>
        </w:rPr>
        <w:t xml:space="preserve">          ОТДЕЛ ОБРАЗОВАНИЯ</w:t>
      </w:r>
    </w:p>
    <w:p w:rsidR="0001366C" w:rsidRPr="0001366C" w:rsidRDefault="0001366C" w:rsidP="0001366C">
      <w:pPr>
        <w:tabs>
          <w:tab w:val="left" w:pos="3969"/>
          <w:tab w:val="left" w:pos="5319"/>
        </w:tabs>
        <w:jc w:val="both"/>
        <w:rPr>
          <w:sz w:val="22"/>
        </w:rPr>
      </w:pPr>
      <w:r w:rsidRPr="0001366C">
        <w:rPr>
          <w:sz w:val="22"/>
        </w:rPr>
        <w:t xml:space="preserve">            </w:t>
      </w:r>
      <w:proofErr w:type="spellStart"/>
      <w:r w:rsidRPr="0001366C">
        <w:rPr>
          <w:sz w:val="22"/>
        </w:rPr>
        <w:t>ул</w:t>
      </w:r>
      <w:proofErr w:type="gramStart"/>
      <w:r w:rsidRPr="0001366C">
        <w:rPr>
          <w:sz w:val="22"/>
        </w:rPr>
        <w:t>.Р</w:t>
      </w:r>
      <w:proofErr w:type="gramEnd"/>
      <w:r w:rsidRPr="0001366C">
        <w:rPr>
          <w:sz w:val="22"/>
        </w:rPr>
        <w:t>ожкова</w:t>
      </w:r>
      <w:proofErr w:type="spellEnd"/>
      <w:r w:rsidRPr="0001366C">
        <w:rPr>
          <w:sz w:val="22"/>
        </w:rPr>
        <w:t xml:space="preserve">, 53а  ,  </w:t>
      </w:r>
      <w:proofErr w:type="spellStart"/>
      <w:r w:rsidRPr="0001366C">
        <w:rPr>
          <w:sz w:val="22"/>
        </w:rPr>
        <w:t>г..Бузулук</w:t>
      </w:r>
      <w:proofErr w:type="spellEnd"/>
    </w:p>
    <w:p w:rsidR="0001366C" w:rsidRPr="0001366C" w:rsidRDefault="0001366C" w:rsidP="0001366C">
      <w:pPr>
        <w:tabs>
          <w:tab w:val="left" w:pos="3969"/>
          <w:tab w:val="left" w:pos="5319"/>
        </w:tabs>
        <w:jc w:val="both"/>
        <w:rPr>
          <w:sz w:val="22"/>
        </w:rPr>
      </w:pPr>
      <w:r w:rsidRPr="0001366C">
        <w:rPr>
          <w:sz w:val="22"/>
        </w:rPr>
        <w:t xml:space="preserve">          Оренбургской области  461040</w:t>
      </w:r>
    </w:p>
    <w:p w:rsidR="0001366C" w:rsidRPr="0001366C" w:rsidRDefault="0001366C" w:rsidP="0001366C">
      <w:pPr>
        <w:tabs>
          <w:tab w:val="left" w:pos="3969"/>
          <w:tab w:val="left" w:pos="5319"/>
        </w:tabs>
        <w:jc w:val="both"/>
        <w:rPr>
          <w:sz w:val="22"/>
        </w:rPr>
      </w:pPr>
      <w:r w:rsidRPr="0001366C">
        <w:rPr>
          <w:sz w:val="22"/>
        </w:rPr>
        <w:t xml:space="preserve">                     тел./факс   2-23-15</w:t>
      </w:r>
    </w:p>
    <w:p w:rsidR="0001366C" w:rsidRPr="0001366C" w:rsidRDefault="0001366C" w:rsidP="0001366C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01366C">
        <w:rPr>
          <w:sz w:val="22"/>
        </w:rPr>
        <w:t xml:space="preserve">            </w:t>
      </w:r>
      <w:proofErr w:type="gramStart"/>
      <w:r w:rsidRPr="0001366C">
        <w:rPr>
          <w:sz w:val="22"/>
        </w:rPr>
        <w:t>Е</w:t>
      </w:r>
      <w:proofErr w:type="gramEnd"/>
      <w:r w:rsidRPr="0001366C">
        <w:rPr>
          <w:sz w:val="22"/>
        </w:rPr>
        <w:t>-</w:t>
      </w:r>
      <w:r w:rsidRPr="0001366C">
        <w:rPr>
          <w:sz w:val="22"/>
          <w:lang w:val="en-US"/>
        </w:rPr>
        <w:t>mail</w:t>
      </w:r>
      <w:r w:rsidRPr="0001366C">
        <w:rPr>
          <w:color w:val="000000"/>
          <w:sz w:val="22"/>
        </w:rPr>
        <w:t>: 56</w:t>
      </w:r>
      <w:proofErr w:type="spellStart"/>
      <w:r w:rsidRPr="0001366C">
        <w:rPr>
          <w:color w:val="000000"/>
          <w:sz w:val="22"/>
          <w:lang w:val="en-US"/>
        </w:rPr>
        <w:t>ouo</w:t>
      </w:r>
      <w:proofErr w:type="spellEnd"/>
      <w:r w:rsidRPr="0001366C">
        <w:rPr>
          <w:color w:val="000000"/>
          <w:sz w:val="22"/>
        </w:rPr>
        <w:t>19@</w:t>
      </w:r>
      <w:proofErr w:type="spellStart"/>
      <w:r w:rsidRPr="0001366C">
        <w:rPr>
          <w:color w:val="000000"/>
          <w:sz w:val="22"/>
          <w:lang w:val="en-US"/>
        </w:rPr>
        <w:t>obraz</w:t>
      </w:r>
      <w:proofErr w:type="spellEnd"/>
      <w:r w:rsidRPr="0001366C">
        <w:rPr>
          <w:color w:val="000000"/>
          <w:sz w:val="22"/>
        </w:rPr>
        <w:t>-</w:t>
      </w:r>
      <w:proofErr w:type="spellStart"/>
      <w:r w:rsidRPr="0001366C">
        <w:rPr>
          <w:color w:val="000000"/>
          <w:sz w:val="22"/>
          <w:lang w:val="en-US"/>
        </w:rPr>
        <w:t>orenburg</w:t>
      </w:r>
      <w:proofErr w:type="spellEnd"/>
      <w:r w:rsidRPr="0001366C">
        <w:rPr>
          <w:color w:val="000000"/>
          <w:sz w:val="22"/>
        </w:rPr>
        <w:t>.</w:t>
      </w:r>
      <w:proofErr w:type="spellStart"/>
      <w:r w:rsidRPr="0001366C">
        <w:rPr>
          <w:color w:val="000000"/>
          <w:sz w:val="22"/>
          <w:lang w:val="en-US"/>
        </w:rPr>
        <w:t>ru</w:t>
      </w:r>
      <w:proofErr w:type="spellEnd"/>
    </w:p>
    <w:p w:rsidR="0001366C" w:rsidRPr="0001366C" w:rsidRDefault="0001366C" w:rsidP="0001366C">
      <w:pPr>
        <w:tabs>
          <w:tab w:val="left" w:pos="3969"/>
          <w:tab w:val="left" w:pos="5319"/>
        </w:tabs>
        <w:ind w:right="34"/>
        <w:jc w:val="both"/>
        <w:rPr>
          <w:szCs w:val="28"/>
        </w:rPr>
      </w:pPr>
    </w:p>
    <w:p w:rsidR="0001366C" w:rsidRPr="0001366C" w:rsidRDefault="0001366C" w:rsidP="0001366C">
      <w:pPr>
        <w:tabs>
          <w:tab w:val="left" w:pos="3969"/>
          <w:tab w:val="left" w:pos="5319"/>
        </w:tabs>
        <w:ind w:right="34"/>
        <w:jc w:val="both"/>
        <w:rPr>
          <w:szCs w:val="28"/>
        </w:rPr>
      </w:pPr>
      <w:r w:rsidRPr="0001366C">
        <w:rPr>
          <w:szCs w:val="28"/>
        </w:rPr>
        <w:t xml:space="preserve">          </w:t>
      </w:r>
      <w:r w:rsidRPr="0001366C">
        <w:rPr>
          <w:szCs w:val="28"/>
        </w:rPr>
        <w:t>29</w:t>
      </w:r>
      <w:r w:rsidRPr="0001366C">
        <w:rPr>
          <w:szCs w:val="28"/>
        </w:rPr>
        <w:t>.</w:t>
      </w:r>
      <w:r w:rsidRPr="0001366C">
        <w:rPr>
          <w:szCs w:val="28"/>
        </w:rPr>
        <w:t>10.2018              №</w:t>
      </w:r>
    </w:p>
    <w:p w:rsidR="0001366C" w:rsidRDefault="0001366C" w:rsidP="001C297A">
      <w:pPr>
        <w:ind w:firstLine="709"/>
        <w:jc w:val="center"/>
        <w:rPr>
          <w:b/>
          <w:bCs/>
        </w:rPr>
      </w:pPr>
    </w:p>
    <w:p w:rsidR="001C297A" w:rsidRPr="000E7859" w:rsidRDefault="001C297A" w:rsidP="001C297A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Аналитическая справка</w:t>
      </w:r>
    </w:p>
    <w:p w:rsidR="001C297A" w:rsidRPr="000E7859" w:rsidRDefault="001C297A" w:rsidP="0001366C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>о результатах контрольной работы</w:t>
      </w:r>
      <w:r>
        <w:rPr>
          <w:b/>
          <w:bCs/>
        </w:rPr>
        <w:t xml:space="preserve"> №2</w:t>
      </w:r>
      <w:r w:rsidR="0001366C">
        <w:rPr>
          <w:b/>
          <w:bCs/>
        </w:rPr>
        <w:t xml:space="preserve"> </w:t>
      </w:r>
      <w:r w:rsidRPr="000E7859">
        <w:rPr>
          <w:b/>
          <w:bCs/>
        </w:rPr>
        <w:t xml:space="preserve">по </w:t>
      </w:r>
      <w:r>
        <w:rPr>
          <w:b/>
          <w:bCs/>
        </w:rPr>
        <w:t xml:space="preserve">математике </w:t>
      </w:r>
    </w:p>
    <w:p w:rsidR="001C297A" w:rsidRDefault="001C297A" w:rsidP="001C297A">
      <w:pPr>
        <w:ind w:firstLine="709"/>
        <w:jc w:val="center"/>
        <w:rPr>
          <w:b/>
          <w:bCs/>
        </w:rPr>
      </w:pPr>
      <w:r w:rsidRPr="000E7859">
        <w:rPr>
          <w:b/>
          <w:bCs/>
        </w:rPr>
        <w:t xml:space="preserve">обучающихся </w:t>
      </w:r>
      <w:r>
        <w:rPr>
          <w:b/>
          <w:bCs/>
        </w:rPr>
        <w:t>11</w:t>
      </w:r>
      <w:r w:rsidRPr="000E7859">
        <w:rPr>
          <w:b/>
          <w:bCs/>
        </w:rPr>
        <w:t xml:space="preserve"> классов </w:t>
      </w:r>
      <w:proofErr w:type="spellStart"/>
      <w:r>
        <w:rPr>
          <w:b/>
          <w:bCs/>
        </w:rPr>
        <w:t>Бузулукского</w:t>
      </w:r>
      <w:proofErr w:type="spellEnd"/>
      <w:r w:rsidRPr="000E7859">
        <w:rPr>
          <w:b/>
          <w:bCs/>
        </w:rPr>
        <w:t xml:space="preserve"> района</w:t>
      </w:r>
    </w:p>
    <w:p w:rsidR="0001366C" w:rsidRDefault="0001366C" w:rsidP="001C297A">
      <w:pPr>
        <w:ind w:firstLine="709"/>
        <w:jc w:val="center"/>
        <w:rPr>
          <w:b/>
          <w:bCs/>
        </w:rPr>
      </w:pPr>
    </w:p>
    <w:p w:rsidR="001C297A" w:rsidRPr="00AE6788" w:rsidRDefault="001C297A" w:rsidP="001C297A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 xml:space="preserve">На основании приказов </w:t>
      </w:r>
      <w:r w:rsidRPr="00AE6788">
        <w:rPr>
          <w:color w:val="000000"/>
          <w:lang w:eastAsia="en-US"/>
        </w:rPr>
        <w:t xml:space="preserve">министерства образования Оренбургской области от </w:t>
      </w:r>
      <w:r>
        <w:rPr>
          <w:color w:val="000000"/>
          <w:lang w:eastAsia="en-US"/>
        </w:rPr>
        <w:t>29.08.2018 г. №</w:t>
      </w:r>
      <w:r w:rsidR="003B3DAA">
        <w:rPr>
          <w:color w:val="000000"/>
          <w:lang w:eastAsia="en-US"/>
        </w:rPr>
        <w:t>01-21/1596</w:t>
      </w:r>
      <w:r w:rsidRPr="00AE6788">
        <w:rPr>
          <w:color w:val="000000"/>
          <w:lang w:eastAsia="en-US"/>
        </w:rPr>
        <w:t xml:space="preserve"> «О </w:t>
      </w:r>
      <w:r w:rsidR="003B3DAA">
        <w:rPr>
          <w:color w:val="000000"/>
          <w:lang w:eastAsia="en-US"/>
        </w:rPr>
        <w:t>реализации региональной системы оценки качества образования в 2018-2019 учебном году»</w:t>
      </w:r>
      <w:r>
        <w:rPr>
          <w:color w:val="000000"/>
          <w:lang w:eastAsia="en-US"/>
        </w:rPr>
        <w:t xml:space="preserve">, отдела образования администрации Бузулукского района от </w:t>
      </w:r>
      <w:r w:rsidR="003B3DAA">
        <w:rPr>
          <w:color w:val="000000"/>
          <w:lang w:eastAsia="en-US"/>
        </w:rPr>
        <w:t>29.08.2018 г. №239а</w:t>
      </w:r>
      <w:r>
        <w:rPr>
          <w:color w:val="000000"/>
          <w:lang w:eastAsia="en-US"/>
        </w:rPr>
        <w:t xml:space="preserve"> «</w:t>
      </w:r>
      <w:r w:rsidRPr="00AE6788">
        <w:rPr>
          <w:color w:val="000000"/>
          <w:lang w:eastAsia="en-US"/>
        </w:rPr>
        <w:t xml:space="preserve">О </w:t>
      </w:r>
      <w:r w:rsidR="003B3DAA">
        <w:rPr>
          <w:color w:val="000000"/>
          <w:lang w:eastAsia="en-US"/>
        </w:rPr>
        <w:t>реализации районной системы оценки качества образования в 2018-2019 учебном году</w:t>
      </w:r>
      <w:r>
        <w:rPr>
          <w:color w:val="000000"/>
          <w:lang w:eastAsia="en-US"/>
        </w:rPr>
        <w:t>»</w:t>
      </w:r>
      <w:r w:rsidR="003B3DAA">
        <w:rPr>
          <w:color w:val="000000"/>
          <w:lang w:eastAsia="en-US"/>
        </w:rPr>
        <w:t xml:space="preserve">, от 22.10.2018 г. №318 «О проведении контрольной работы №2 по математике для обучающихся 11 классов», </w:t>
      </w:r>
      <w:r>
        <w:rPr>
          <w:color w:val="000000"/>
          <w:lang w:eastAsia="en-US"/>
        </w:rPr>
        <w:t xml:space="preserve"> была проведена</w:t>
      </w:r>
      <w:proofErr w:type="gramEnd"/>
      <w:r>
        <w:rPr>
          <w:color w:val="000000"/>
          <w:lang w:eastAsia="en-US"/>
        </w:rPr>
        <w:t xml:space="preserve"> входная контрольная работа по математике.</w:t>
      </w:r>
    </w:p>
    <w:p w:rsidR="001C297A" w:rsidRPr="00C31F5E" w:rsidRDefault="001C297A" w:rsidP="001C297A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31F5E">
        <w:rPr>
          <w:iCs/>
          <w:color w:val="000000"/>
          <w:lang w:eastAsia="en-US"/>
        </w:rPr>
        <w:t>Цель:</w:t>
      </w:r>
      <w:r w:rsidRPr="00C31F5E">
        <w:rPr>
          <w:i/>
          <w:iCs/>
          <w:color w:val="000000"/>
          <w:lang w:eastAsia="en-US"/>
        </w:rPr>
        <w:t xml:space="preserve"> </w:t>
      </w:r>
      <w:r w:rsidRPr="00C31F5E">
        <w:rPr>
          <w:color w:val="000000"/>
          <w:lang w:eastAsia="en-US"/>
        </w:rPr>
        <w:t>систематизация и обобщение знаний обучающихся, повышение ответственности обучающихся и педагогов за результаты своего труда, подготовк</w:t>
      </w:r>
      <w:r w:rsidR="009E5D70">
        <w:rPr>
          <w:color w:val="000000"/>
          <w:lang w:eastAsia="en-US"/>
        </w:rPr>
        <w:t>а</w:t>
      </w:r>
      <w:r w:rsidRPr="00C31F5E">
        <w:rPr>
          <w:color w:val="000000"/>
          <w:lang w:eastAsia="en-US"/>
        </w:rPr>
        <w:t xml:space="preserve"> к государственной итоговой аттестации на основе системных мониторинговых исследований.</w:t>
      </w:r>
    </w:p>
    <w:p w:rsidR="001C297A" w:rsidRDefault="001C297A" w:rsidP="001C297A">
      <w:pPr>
        <w:pStyle w:val="Default"/>
        <w:ind w:firstLine="709"/>
        <w:jc w:val="both"/>
      </w:pPr>
      <w:r w:rsidRPr="000E7859">
        <w:rPr>
          <w:iCs/>
        </w:rPr>
        <w:t>Сроки проведения:</w:t>
      </w:r>
      <w:r w:rsidRPr="000E7859">
        <w:rPr>
          <w:i/>
          <w:iCs/>
        </w:rPr>
        <w:t xml:space="preserve"> </w:t>
      </w:r>
      <w:r w:rsidR="003B3DAA">
        <w:t>24</w:t>
      </w:r>
      <w:r>
        <w:t>.</w:t>
      </w:r>
      <w:r w:rsidR="003B3DAA">
        <w:t>10</w:t>
      </w:r>
      <w:r>
        <w:t>.2018 г.</w:t>
      </w:r>
    </w:p>
    <w:p w:rsidR="001C297A" w:rsidRDefault="001C297A" w:rsidP="001C297A">
      <w:pPr>
        <w:pStyle w:val="Default"/>
        <w:ind w:firstLine="709"/>
        <w:jc w:val="both"/>
      </w:pPr>
      <w:r w:rsidRPr="000E7859">
        <w:rPr>
          <w:iCs/>
        </w:rPr>
        <w:t>Состав комиссии</w:t>
      </w:r>
      <w:r w:rsidRPr="000E7859">
        <w:t xml:space="preserve">: учителя </w:t>
      </w:r>
      <w:r>
        <w:t>математики</w:t>
      </w:r>
      <w:r w:rsidRPr="000E7859">
        <w:t xml:space="preserve"> </w:t>
      </w:r>
      <w:r>
        <w:t>Бузулукского</w:t>
      </w:r>
      <w:r w:rsidRPr="000E7859">
        <w:t xml:space="preserve"> района первой и высшей квалификационной категории.</w:t>
      </w:r>
    </w:p>
    <w:p w:rsidR="001C297A" w:rsidRDefault="001C297A" w:rsidP="003B6D5C">
      <w:pPr>
        <w:pStyle w:val="Default"/>
        <w:ind w:left="-142" w:firstLine="851"/>
        <w:jc w:val="both"/>
      </w:pPr>
      <w:r>
        <w:t xml:space="preserve">Всего обучающихся в 11-ых классах – 58 человек из 12 </w:t>
      </w:r>
      <w:r w:rsidRPr="000E7859">
        <w:t xml:space="preserve">общеобразовательных организаций </w:t>
      </w:r>
      <w:r>
        <w:t>Бузулукского</w:t>
      </w:r>
      <w:r w:rsidRPr="000E7859">
        <w:t xml:space="preserve"> района</w:t>
      </w:r>
      <w:r>
        <w:t>, писали ВКР по математике – 57 человек, что составило 98% от учащихся 11 классов. Отсутствовал один ученик из МОБУ «</w:t>
      </w:r>
      <w:r w:rsidR="003B3DAA">
        <w:t>Елшанская Первая</w:t>
      </w:r>
      <w:r>
        <w:t xml:space="preserve"> СОШ» по уважительн</w:t>
      </w:r>
      <w:r w:rsidR="003B3DAA">
        <w:t>ой</w:t>
      </w:r>
      <w:r>
        <w:t xml:space="preserve"> причин</w:t>
      </w:r>
      <w:r w:rsidR="003B3DAA">
        <w:t>е (болезнь)</w:t>
      </w:r>
      <w:r>
        <w:t>.</w:t>
      </w:r>
    </w:p>
    <w:p w:rsidR="001C297A" w:rsidRDefault="001C297A" w:rsidP="001C297A">
      <w:pPr>
        <w:pStyle w:val="Default"/>
        <w:ind w:firstLine="709"/>
        <w:jc w:val="both"/>
      </w:pPr>
      <w:r w:rsidRPr="000E7859">
        <w:t xml:space="preserve">В ходе анализа было проведено сравнение результатов </w:t>
      </w:r>
      <w:r w:rsidR="003B3DAA">
        <w:t>входной</w:t>
      </w:r>
      <w:r w:rsidRPr="000E7859">
        <w:t xml:space="preserve"> контрольн</w:t>
      </w:r>
      <w:r>
        <w:t>ой</w:t>
      </w:r>
      <w:r w:rsidRPr="000E7859">
        <w:t xml:space="preserve"> работ</w:t>
      </w:r>
      <w:r>
        <w:t>ы (</w:t>
      </w:r>
      <w:r w:rsidR="003B3DAA">
        <w:t>сентябрь</w:t>
      </w:r>
      <w:r>
        <w:t>) и контрольной работы</w:t>
      </w:r>
      <w:r w:rsidR="003B3DAA">
        <w:t xml:space="preserve"> №2</w:t>
      </w:r>
      <w:r>
        <w:t xml:space="preserve"> (</w:t>
      </w:r>
      <w:r w:rsidR="003B3DAA">
        <w:t>октябрь</w:t>
      </w:r>
      <w:r>
        <w:t>).</w:t>
      </w:r>
    </w:p>
    <w:p w:rsidR="00002E9A" w:rsidRDefault="00002E9A" w:rsidP="001C297A">
      <w:pPr>
        <w:pStyle w:val="Default"/>
        <w:ind w:firstLine="709"/>
        <w:jc w:val="both"/>
        <w:rPr>
          <w:b/>
        </w:rPr>
      </w:pPr>
    </w:p>
    <w:p w:rsidR="004A19B1" w:rsidRPr="00002E9A" w:rsidRDefault="004A19B1" w:rsidP="001C297A">
      <w:pPr>
        <w:pStyle w:val="Default"/>
        <w:ind w:firstLine="709"/>
        <w:jc w:val="both"/>
        <w:rPr>
          <w:b/>
        </w:rPr>
      </w:pPr>
      <w:r w:rsidRPr="00002E9A">
        <w:rPr>
          <w:b/>
        </w:rPr>
        <w:t>Выполняемость заданий первой части:</w:t>
      </w:r>
    </w:p>
    <w:p w:rsidR="004A19B1" w:rsidRDefault="004A19B1" w:rsidP="003B6D5C">
      <w:pPr>
        <w:pStyle w:val="Default"/>
        <w:ind w:firstLine="142"/>
        <w:jc w:val="both"/>
      </w:pPr>
      <w:r>
        <w:rPr>
          <w:noProof/>
          <w:lang w:eastAsia="ru-RU"/>
        </w:rPr>
        <w:drawing>
          <wp:inline distT="0" distB="0" distL="0" distR="0">
            <wp:extent cx="6056630" cy="2523744"/>
            <wp:effectExtent l="0" t="0" r="127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3DAA" w:rsidRPr="000E7859" w:rsidRDefault="003B3DAA" w:rsidP="001C297A">
      <w:pPr>
        <w:pStyle w:val="Default"/>
        <w:ind w:firstLine="709"/>
        <w:jc w:val="both"/>
      </w:pPr>
    </w:p>
    <w:p w:rsidR="00D07608" w:rsidRDefault="001B6FAB" w:rsidP="001B6FAB">
      <w:pPr>
        <w:ind w:firstLine="567"/>
        <w:jc w:val="both"/>
      </w:pPr>
      <w:r>
        <w:t>В первой части контрольной работы были задания, которые встречаются как на профильном уровне математики, так и на базовом.</w:t>
      </w:r>
    </w:p>
    <w:p w:rsidR="001B6FAB" w:rsidRDefault="001B6FAB" w:rsidP="001B6FAB">
      <w:pPr>
        <w:ind w:firstLine="567"/>
        <w:jc w:val="both"/>
      </w:pPr>
      <w:r w:rsidRPr="00FB179D">
        <w:rPr>
          <w:i/>
        </w:rPr>
        <w:lastRenderedPageBreak/>
        <w:t>Задание 1</w:t>
      </w:r>
      <w:r>
        <w:t xml:space="preserve"> это простейшие практические задачи. (Б – №3, </w:t>
      </w:r>
      <w:proofErr w:type="spellStart"/>
      <w:r>
        <w:t>Пр</w:t>
      </w:r>
      <w:proofErr w:type="spellEnd"/>
      <w:r>
        <w:t xml:space="preserve"> - №1). Решаемость задания составила 49,1%</w:t>
      </w:r>
      <w:r w:rsidR="00FB179D">
        <w:t>, это ниже чем на ВКР (73,6%)</w:t>
      </w:r>
      <w:r w:rsidR="00F76A7A">
        <w:t xml:space="preserve">. Во всех трех вариантах задания были различные: округление с избытком, проценты. </w:t>
      </w:r>
      <w:r w:rsidR="009E5D70">
        <w:t>Большое количество ошибок у</w:t>
      </w:r>
      <w:r w:rsidR="00F76A7A">
        <w:t xml:space="preserve">чащиеся </w:t>
      </w:r>
      <w:r w:rsidR="005610DB">
        <w:t xml:space="preserve">допустили при решении </w:t>
      </w:r>
      <w:r w:rsidR="009E5D70">
        <w:t xml:space="preserve">3-го </w:t>
      </w:r>
      <w:r w:rsidR="005610DB">
        <w:t>вариант</w:t>
      </w:r>
      <w:r w:rsidR="009E5D70">
        <w:t>а</w:t>
      </w:r>
      <w:r w:rsidR="005610DB">
        <w:t xml:space="preserve">, где задача на проценты была повышенного уровня. </w:t>
      </w:r>
      <w:r w:rsidR="005610DB" w:rsidRPr="008A4EE2">
        <w:t xml:space="preserve">При </w:t>
      </w:r>
      <w:r w:rsidR="008A4EE2" w:rsidRPr="008A4EE2">
        <w:t>нахождении</w:t>
      </w:r>
      <w:r w:rsidR="005610DB" w:rsidRPr="008A4EE2">
        <w:t xml:space="preserve"> повторно</w:t>
      </w:r>
      <w:r w:rsidR="008A4EE2" w:rsidRPr="008A4EE2">
        <w:t>го</w:t>
      </w:r>
      <w:r w:rsidR="005610DB" w:rsidRPr="008A4EE2">
        <w:t xml:space="preserve"> изменени</w:t>
      </w:r>
      <w:r w:rsidR="008A4EE2" w:rsidRPr="008A4EE2">
        <w:t>я</w:t>
      </w:r>
      <w:r w:rsidR="005610DB" w:rsidRPr="008A4EE2">
        <w:t xml:space="preserve"> величины</w:t>
      </w:r>
      <w:r w:rsidR="008A4EE2" w:rsidRPr="008A4EE2">
        <w:t>, учащиеся</w:t>
      </w:r>
      <w:r w:rsidR="005610DB" w:rsidRPr="008A4EE2">
        <w:t xml:space="preserve"> </w:t>
      </w:r>
      <w:r w:rsidR="008A4EE2" w:rsidRPr="008A4EE2">
        <w:t>вычисляют</w:t>
      </w:r>
      <w:r w:rsidR="008A4EE2">
        <w:t xml:space="preserve"> ее</w:t>
      </w:r>
      <w:r w:rsidR="008A4EE2" w:rsidRPr="008A4EE2">
        <w:t>,</w:t>
      </w:r>
      <w:r w:rsidR="005610DB" w:rsidRPr="008A4EE2">
        <w:t xml:space="preserve"> не применяя правила нахождения части от предыдущей цены, путём сложения и вычитания процентов.</w:t>
      </w:r>
      <w:r w:rsidR="00FB179D">
        <w:t xml:space="preserve"> Причина появления данной ошибки в том</w:t>
      </w:r>
      <w:r w:rsidR="009E5D70">
        <w:t>, ч</w:t>
      </w:r>
      <w:r w:rsidR="00FB179D">
        <w:t xml:space="preserve">то учащиеся </w:t>
      </w:r>
      <w:r w:rsidR="00FB179D" w:rsidRPr="00FB179D">
        <w:t xml:space="preserve">не смогли представить себе жизненной ситуации, отраженной в задаче, не </w:t>
      </w:r>
      <w:r w:rsidR="00953B6B">
        <w:t>поняли</w:t>
      </w:r>
      <w:r w:rsidR="00FB179D" w:rsidRPr="00FB179D">
        <w:t xml:space="preserve"> отношени</w:t>
      </w:r>
      <w:r w:rsidR="00953B6B">
        <w:t>я</w:t>
      </w:r>
      <w:r w:rsidR="00FB179D" w:rsidRPr="00FB179D">
        <w:t xml:space="preserve"> между величинами в ней, зави</w:t>
      </w:r>
      <w:r w:rsidR="00FB179D">
        <w:t xml:space="preserve">симости между </w:t>
      </w:r>
      <w:r w:rsidR="00953B6B">
        <w:t xml:space="preserve">исходными </w:t>
      </w:r>
      <w:r w:rsidR="00FB179D">
        <w:t>данными и иском</w:t>
      </w:r>
      <w:r w:rsidR="00953B6B">
        <w:t>ой величиной</w:t>
      </w:r>
      <w:r w:rsidR="00FB179D">
        <w:t>.</w:t>
      </w:r>
      <w:r w:rsidR="00FB179D" w:rsidRPr="00FB17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B179D" w:rsidRPr="00FB179D">
        <w:t>Для устранения этих недостатков необходимо прежде всего улучшить методику организации первичного восприятия и анализа задачи, чтобы обеспечить осознанный и доказательный выбор арифметического действия</w:t>
      </w:r>
      <w:r w:rsidR="00FB179D">
        <w:t>.</w:t>
      </w:r>
    </w:p>
    <w:p w:rsidR="00FB179D" w:rsidRDefault="00FB179D" w:rsidP="001B6FAB">
      <w:pPr>
        <w:ind w:firstLine="567"/>
        <w:jc w:val="both"/>
      </w:pPr>
      <w:r w:rsidRPr="00FB179D">
        <w:rPr>
          <w:i/>
        </w:rPr>
        <w:t>Задание 2</w:t>
      </w:r>
      <w:r>
        <w:t xml:space="preserve"> на чтение графиков и диаграмм (Б - №11, </w:t>
      </w:r>
      <w:proofErr w:type="spellStart"/>
      <w:r>
        <w:t>Пр</w:t>
      </w:r>
      <w:proofErr w:type="spellEnd"/>
      <w:r>
        <w:t xml:space="preserve"> - №2). Выполнение задания составило 56,1%, наблюдается небольшой рост по сравнению с ВКР (49,1%).</w:t>
      </w:r>
      <w:r w:rsidR="00F35B68">
        <w:t xml:space="preserve"> Ошибки в основном из-за «поверхностного» прочтения учащимися задания. Для устранения ошибок необходимо учить учащихся работать с текстовой информацией, выделять главное и сопоставлять условие с «картинкой» (графиком, диаграммой).</w:t>
      </w:r>
    </w:p>
    <w:p w:rsidR="00F35B68" w:rsidRDefault="00F35B68" w:rsidP="001B6FAB">
      <w:pPr>
        <w:ind w:firstLine="567"/>
        <w:jc w:val="both"/>
      </w:pPr>
      <w:r w:rsidRPr="00F35B68">
        <w:rPr>
          <w:i/>
        </w:rPr>
        <w:t>Задание 3</w:t>
      </w:r>
      <w:r>
        <w:t xml:space="preserve"> было на оптимальный выбор (Б – 12). Учащиеся решают данное задание на достаточном уровне. Ошибки в основном вычислительные. Некоторые </w:t>
      </w:r>
      <w:r w:rsidR="006543BF">
        <w:t>учащиеся невнимательно прочитали вопрос к заданию или не дочитали задание, поэтому вместо номеров чемоданов</w:t>
      </w:r>
      <w:r w:rsidR="00953B6B">
        <w:t xml:space="preserve"> и</w:t>
      </w:r>
      <w:r w:rsidR="006543BF">
        <w:t xml:space="preserve"> маршрута (варианты 2,3) указывали массу</w:t>
      </w:r>
      <w:r w:rsidR="00953B6B">
        <w:t xml:space="preserve"> и</w:t>
      </w:r>
      <w:r w:rsidR="006543BF">
        <w:t xml:space="preserve"> стоимость. Для устранения данной ошибки необходимо работать с заданиями на внимательность (предлагать задания с измененными данными).</w:t>
      </w:r>
    </w:p>
    <w:p w:rsidR="006543BF" w:rsidRDefault="006543BF" w:rsidP="001B6FAB">
      <w:pPr>
        <w:ind w:firstLine="567"/>
        <w:jc w:val="both"/>
      </w:pPr>
      <w:r w:rsidRPr="006543BF">
        <w:rPr>
          <w:i/>
        </w:rPr>
        <w:t>Задание 4</w:t>
      </w:r>
      <w:r>
        <w:t xml:space="preserve"> на квадратную решетку и координатную плоскость (Б - №15, </w:t>
      </w:r>
      <w:proofErr w:type="spellStart"/>
      <w:r>
        <w:t>Пр</w:t>
      </w:r>
      <w:proofErr w:type="spellEnd"/>
      <w:r>
        <w:t xml:space="preserve"> - №3), задание было на вычисление площади многоугольника. Решаемость задания составила 56,1%, на ВКР это задание верно выполнило 40,4%.</w:t>
      </w:r>
      <w:r w:rsidR="001F2321">
        <w:t xml:space="preserve"> Затруднение больше вызвало задание на координатной плоскости. Для устранения данной ошибки необходимо учащихся учить анализировать ситуацию, применять знания в нестандартных ситуациях.</w:t>
      </w:r>
    </w:p>
    <w:p w:rsidR="006543BF" w:rsidRDefault="001F2321" w:rsidP="001B6FAB">
      <w:pPr>
        <w:ind w:firstLine="567"/>
        <w:jc w:val="both"/>
      </w:pPr>
      <w:r w:rsidRPr="0058777A">
        <w:rPr>
          <w:i/>
        </w:rPr>
        <w:t>Задание 5</w:t>
      </w:r>
      <w:r>
        <w:t xml:space="preserve"> на начала теории вероятности (Б - №</w:t>
      </w:r>
      <w:r w:rsidR="00AE3A0D">
        <w:t>10</w:t>
      </w:r>
      <w:r>
        <w:t xml:space="preserve">, </w:t>
      </w:r>
      <w:proofErr w:type="spellStart"/>
      <w:r>
        <w:t>Пр</w:t>
      </w:r>
      <w:proofErr w:type="spellEnd"/>
      <w:r>
        <w:t xml:space="preserve"> - №</w:t>
      </w:r>
      <w:r w:rsidR="00AE3A0D">
        <w:t>4</w:t>
      </w:r>
      <w:r>
        <w:t xml:space="preserve">). Выполняемость заданий 40,4%, на ВКР – 15,8%. Учащиеся допускают ошибки в основном из-за того, </w:t>
      </w:r>
      <w:r w:rsidR="0058777A">
        <w:t>что,</w:t>
      </w:r>
      <w:r>
        <w:t xml:space="preserve"> видя знакомую ситуаци</w:t>
      </w:r>
      <w:r w:rsidR="0058777A">
        <w:t>ю, не дочитывают до конца задание (исправные-неисправные).</w:t>
      </w:r>
    </w:p>
    <w:p w:rsidR="00AE3A0D" w:rsidRDefault="00AE3A0D" w:rsidP="001B6FAB">
      <w:pPr>
        <w:ind w:firstLine="567"/>
        <w:jc w:val="both"/>
      </w:pPr>
      <w:r w:rsidRPr="00AE3A0D">
        <w:rPr>
          <w:i/>
        </w:rPr>
        <w:t>Задание 6</w:t>
      </w:r>
      <w:r>
        <w:t xml:space="preserve"> простейшие уравнения (Б - №7, </w:t>
      </w:r>
      <w:proofErr w:type="spellStart"/>
      <w:r>
        <w:t>Пр</w:t>
      </w:r>
      <w:proofErr w:type="spellEnd"/>
      <w:r>
        <w:t xml:space="preserve"> - №5). </w:t>
      </w:r>
      <w:r w:rsidR="000B38D9">
        <w:t xml:space="preserve">61,4% учащихся справились с данным заданием, на ВКР </w:t>
      </w:r>
      <w:r w:rsidR="00731522">
        <w:t>-</w:t>
      </w:r>
      <w:r w:rsidR="000B38D9">
        <w:t xml:space="preserve"> 73,7% учащихся решали верно данное задание. На ВКР были рациональные и иррациональные уравнения, а на КР №2 в задании были иррациональные, квадратные и кубические уравнения. Учащиеся при решении квадратных и кубических уравнений переходили к неравносильным уравнениям, т.е</w:t>
      </w:r>
      <w:r w:rsidR="006E2CC4">
        <w:t>.</w:t>
      </w:r>
      <w:r w:rsidR="000B38D9">
        <w:t xml:space="preserve"> не все учащиеся знают теоремы равносильности уравнений и неравенств, которые изучаются в школьном курсе.</w:t>
      </w:r>
    </w:p>
    <w:p w:rsidR="00F16E22" w:rsidRDefault="000B38D9" w:rsidP="00F16E22">
      <w:pPr>
        <w:ind w:firstLine="567"/>
        <w:jc w:val="both"/>
      </w:pPr>
      <w:r w:rsidRPr="006E2CC4">
        <w:rPr>
          <w:i/>
        </w:rPr>
        <w:t>Задание 7</w:t>
      </w:r>
      <w:r>
        <w:t xml:space="preserve"> планиметрия (Б - №15, </w:t>
      </w:r>
      <w:proofErr w:type="spellStart"/>
      <w:r>
        <w:t>Пр</w:t>
      </w:r>
      <w:proofErr w:type="spellEnd"/>
      <w:r>
        <w:t xml:space="preserve"> - №6). Выполнимость задания 56,1% (на ВКР – 33,3%),</w:t>
      </w:r>
      <w:r w:rsidRPr="000B38D9">
        <w:t xml:space="preserve"> </w:t>
      </w:r>
      <w:r>
        <w:t>двое учащихся (3,5%) не приступили к выполнению.</w:t>
      </w:r>
      <w:r w:rsidR="006E2CC4">
        <w:t xml:space="preserve"> Задания были на прямоугольный треугольник, параллелограмм и описанную окружность. </w:t>
      </w:r>
      <w:r w:rsidR="00F16E22">
        <w:t>Для устранения ошибок в данном задании</w:t>
      </w:r>
      <w:r w:rsidR="00F16E22" w:rsidRPr="00F16E22">
        <w:t xml:space="preserve"> следует обращать особое внимание на развитие геометрической интуиции, умения работать с чертежом, узнавать базовые геометрические</w:t>
      </w:r>
      <w:r w:rsidR="00F16E22">
        <w:t xml:space="preserve"> </w:t>
      </w:r>
      <w:r w:rsidR="00F16E22" w:rsidRPr="00F16E22">
        <w:t>конструкции.</w:t>
      </w:r>
    </w:p>
    <w:p w:rsidR="008556F6" w:rsidRDefault="00F16E22" w:rsidP="008556F6">
      <w:pPr>
        <w:ind w:firstLine="567"/>
        <w:jc w:val="both"/>
      </w:pPr>
      <w:r w:rsidRPr="008556F6">
        <w:rPr>
          <w:i/>
        </w:rPr>
        <w:t>Задание 8</w:t>
      </w:r>
      <w:r>
        <w:t xml:space="preserve"> производная и первообразная (</w:t>
      </w:r>
      <w:proofErr w:type="spellStart"/>
      <w:r>
        <w:t>Пр</w:t>
      </w:r>
      <w:proofErr w:type="spellEnd"/>
      <w:r>
        <w:t xml:space="preserve"> - №7). Задание на применение производной к исследованию функций и геометрический смысл производной. Верно выполнили задание 21,1%,</w:t>
      </w:r>
      <w:r w:rsidR="008556F6">
        <w:t xml:space="preserve"> не приступили к заданию 4 обучающихся (7%). Н</w:t>
      </w:r>
      <w:r>
        <w:t>а ВКР справившихся с заданием учащихся было 57,9%.</w:t>
      </w:r>
      <w:r w:rsidR="008556F6" w:rsidRPr="008556F6">
        <w:t xml:space="preserve"> </w:t>
      </w:r>
      <w:r w:rsidR="008556F6">
        <w:t>Для устранения данной ошибки при изучении производной надо</w:t>
      </w:r>
      <w:r w:rsidR="008556F6" w:rsidRPr="008556F6">
        <w:t xml:space="preserve"> смещать акцент с формальных вычислений на понимание базовых понятий.</w:t>
      </w:r>
    </w:p>
    <w:p w:rsidR="0076256D" w:rsidRDefault="008556F6" w:rsidP="008556F6">
      <w:pPr>
        <w:ind w:firstLine="567"/>
        <w:jc w:val="both"/>
      </w:pPr>
      <w:r w:rsidRPr="0076256D">
        <w:rPr>
          <w:i/>
        </w:rPr>
        <w:t>Задание 9</w:t>
      </w:r>
      <w:r>
        <w:t xml:space="preserve"> стереометрия (Б - №13, </w:t>
      </w:r>
      <w:proofErr w:type="spellStart"/>
      <w:r>
        <w:t>Пр</w:t>
      </w:r>
      <w:proofErr w:type="spellEnd"/>
      <w:r>
        <w:t xml:space="preserve"> - №8). Задания были на элементы куба, элементы составных многогранников, площадь поверхности составного многогранника. Верно выполнили задание 38,6% учащихся (ВКР – 42,1%), пятеро обучающихся (8,8%) не приступили к выполнению задания. </w:t>
      </w:r>
      <w:r w:rsidR="0076256D">
        <w:t>У учащихся слабо сформированы пространственные представления. Кроме этого обучающиеся допустили вычислительные ошибки при выполнении данного задания.</w:t>
      </w:r>
    </w:p>
    <w:p w:rsidR="00F16E22" w:rsidRDefault="00002E9A" w:rsidP="008556F6">
      <w:pPr>
        <w:ind w:firstLine="567"/>
        <w:jc w:val="both"/>
      </w:pPr>
      <w:r>
        <w:t xml:space="preserve">. </w:t>
      </w:r>
    </w:p>
    <w:p w:rsidR="00002E9A" w:rsidRPr="00002E9A" w:rsidRDefault="00002E9A" w:rsidP="00002E9A">
      <w:pPr>
        <w:pStyle w:val="Default"/>
        <w:ind w:firstLine="709"/>
        <w:jc w:val="both"/>
        <w:rPr>
          <w:b/>
        </w:rPr>
      </w:pPr>
      <w:r w:rsidRPr="00002E9A">
        <w:rPr>
          <w:b/>
        </w:rPr>
        <w:t xml:space="preserve">Выполняемость заданий </w:t>
      </w:r>
      <w:r>
        <w:rPr>
          <w:b/>
        </w:rPr>
        <w:t>второй</w:t>
      </w:r>
      <w:r w:rsidRPr="00002E9A">
        <w:rPr>
          <w:b/>
        </w:rPr>
        <w:t xml:space="preserve"> части:</w:t>
      </w:r>
    </w:p>
    <w:p w:rsidR="003B6D5C" w:rsidRDefault="003B6D5C" w:rsidP="008556F6">
      <w:pPr>
        <w:ind w:firstLine="567"/>
        <w:jc w:val="both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486400" cy="235549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2E9A" w:rsidRDefault="003B6D5C" w:rsidP="008556F6">
      <w:pPr>
        <w:ind w:firstLine="567"/>
        <w:jc w:val="both"/>
      </w:pPr>
      <w:r w:rsidRPr="00D5202D">
        <w:rPr>
          <w:i/>
        </w:rPr>
        <w:t>Задание 10</w:t>
      </w:r>
      <w:r>
        <w:t xml:space="preserve"> вычисления и преобразования (</w:t>
      </w:r>
      <w:proofErr w:type="spellStart"/>
      <w:r>
        <w:t>Пр</w:t>
      </w:r>
      <w:proofErr w:type="spellEnd"/>
      <w:r>
        <w:t xml:space="preserve"> - №9). Верно выполнили задания 64,9% (ВКР 57,9%). Не все учащиеся могут правильно преобразовать алгебраическое выражение, допускают вычислительные ошибки</w:t>
      </w:r>
      <w:r w:rsidR="00B74B4A">
        <w:t>.</w:t>
      </w:r>
    </w:p>
    <w:p w:rsidR="00B74B4A" w:rsidRDefault="00B74B4A" w:rsidP="00B74B4A">
      <w:pPr>
        <w:ind w:firstLine="567"/>
        <w:jc w:val="both"/>
      </w:pPr>
      <w:r w:rsidRPr="00B74B4A">
        <w:rPr>
          <w:i/>
        </w:rPr>
        <w:t>Задание 11</w:t>
      </w:r>
      <w:r>
        <w:t xml:space="preserve"> задача с прикладным содержанием (</w:t>
      </w:r>
      <w:proofErr w:type="spellStart"/>
      <w:r>
        <w:t>Пр</w:t>
      </w:r>
      <w:proofErr w:type="spellEnd"/>
      <w:r>
        <w:t xml:space="preserve"> - №10). С заданием справилось 42,1% обучающихся (ВКР - №49,1%), не приступили к заданию трое обучающихся (5,3%). </w:t>
      </w:r>
      <w:r w:rsidRPr="00B74B4A">
        <w:t xml:space="preserve">Наибольшая трудность в </w:t>
      </w:r>
      <w:r w:rsidR="006F77B2">
        <w:t xml:space="preserve">задании </w:t>
      </w:r>
      <w:r w:rsidR="006F77B2" w:rsidRPr="00B74B4A">
        <w:t>–</w:t>
      </w:r>
      <w:r w:rsidRPr="00B74B4A">
        <w:t xml:space="preserve"> чтение, понимание условия, применение математических знаний.</w:t>
      </w:r>
    </w:p>
    <w:p w:rsidR="006F77B2" w:rsidRDefault="006F77B2" w:rsidP="00B74B4A">
      <w:pPr>
        <w:ind w:firstLine="567"/>
        <w:jc w:val="both"/>
      </w:pPr>
      <w:r>
        <w:t>Задание 12 стереометрия (</w:t>
      </w:r>
      <w:proofErr w:type="spellStart"/>
      <w:r>
        <w:t>Пр</w:t>
      </w:r>
      <w:proofErr w:type="spellEnd"/>
      <w:r>
        <w:t xml:space="preserve"> - №8): куб, прямоугольный параллелепипед. Успешно справились с заданием 43,9% (ВКР – 56,6%).</w:t>
      </w:r>
      <w:r w:rsidR="00BE60F1">
        <w:t xml:space="preserve"> Учащиеся не могут провести анализ и зависимость величин (объем-длина). Причины появления ошибок такие же, как и в задании 9. </w:t>
      </w:r>
    </w:p>
    <w:p w:rsidR="006F77B2" w:rsidRDefault="006F77B2" w:rsidP="00B74B4A">
      <w:pPr>
        <w:ind w:firstLine="567"/>
        <w:jc w:val="both"/>
      </w:pPr>
      <w:r w:rsidRPr="006F77B2">
        <w:rPr>
          <w:i/>
        </w:rPr>
        <w:t>Задание 1</w:t>
      </w:r>
      <w:r>
        <w:rPr>
          <w:i/>
        </w:rPr>
        <w:t>3</w:t>
      </w:r>
      <w:r w:rsidR="00BE60F1">
        <w:rPr>
          <w:i/>
        </w:rPr>
        <w:t xml:space="preserve"> </w:t>
      </w:r>
      <w:r>
        <w:t>текстовая задача (</w:t>
      </w:r>
      <w:proofErr w:type="spellStart"/>
      <w:r>
        <w:t>Пр</w:t>
      </w:r>
      <w:proofErr w:type="spellEnd"/>
      <w:r>
        <w:t xml:space="preserve"> - №11) на совместную работу, на смеси и сплавы и на движение по прямой (протяженность тел). Успешно справились с заданием 28,1% обучающихся (на ВКР – 21,1%), не приступило к выполнению 8 учащихся (14%)</w:t>
      </w:r>
      <w:r w:rsidR="00BE60F1">
        <w:t>.</w:t>
      </w:r>
    </w:p>
    <w:p w:rsidR="00BE60F1" w:rsidRPr="00B74B4A" w:rsidRDefault="00BE60F1" w:rsidP="00B74B4A">
      <w:pPr>
        <w:ind w:firstLine="567"/>
        <w:jc w:val="both"/>
      </w:pPr>
      <w:r w:rsidRPr="00BE60F1">
        <w:rPr>
          <w:i/>
        </w:rPr>
        <w:t>Задание 14</w:t>
      </w:r>
      <w:r>
        <w:t xml:space="preserve"> наибольшее и наименьшее значение (</w:t>
      </w:r>
      <w:proofErr w:type="spellStart"/>
      <w:r>
        <w:t>Пр</w:t>
      </w:r>
      <w:proofErr w:type="spellEnd"/>
      <w:r>
        <w:t xml:space="preserve"> - №12): иррациональной</w:t>
      </w:r>
      <w:r w:rsidR="00731522">
        <w:t xml:space="preserve"> функции и</w:t>
      </w:r>
      <w:r>
        <w:t xml:space="preserve"> частного. Верно выполнили задание 21,1% учащихся (ВКР – 29,8%). Не приступили к выполнению задания 14 обучающихся (24,6%). Типичная ошибка в нахождении производной. Некоторые учащиеся пытались угадать, как ведет себя функция без исследования с помощью производной.</w:t>
      </w:r>
    </w:p>
    <w:p w:rsidR="00BE60F1" w:rsidRDefault="00BE60F1" w:rsidP="001B6FAB">
      <w:pPr>
        <w:ind w:firstLine="567"/>
        <w:jc w:val="both"/>
        <w:rPr>
          <w:b/>
        </w:rPr>
      </w:pPr>
    </w:p>
    <w:p w:rsidR="0058777A" w:rsidRDefault="00BE60F1" w:rsidP="001B6FAB">
      <w:pPr>
        <w:ind w:firstLine="567"/>
        <w:jc w:val="both"/>
        <w:rPr>
          <w:b/>
        </w:rPr>
      </w:pPr>
      <w:r>
        <w:rPr>
          <w:b/>
        </w:rPr>
        <w:t xml:space="preserve">Задания с </w:t>
      </w:r>
      <w:r w:rsidR="006D7F1D">
        <w:rPr>
          <w:b/>
        </w:rPr>
        <w:t>полным решением</w:t>
      </w:r>
      <w:r w:rsidR="00C95B41">
        <w:rPr>
          <w:b/>
        </w:rPr>
        <w:t>.</w:t>
      </w:r>
    </w:p>
    <w:p w:rsidR="00C95B41" w:rsidRDefault="00C95B41" w:rsidP="001B6FAB">
      <w:pPr>
        <w:ind w:firstLine="567"/>
        <w:jc w:val="both"/>
      </w:pPr>
      <w:r w:rsidRPr="00826981">
        <w:rPr>
          <w:i/>
        </w:rPr>
        <w:t>Задание 15</w:t>
      </w:r>
      <w:r>
        <w:t xml:space="preserve"> решение тригонометрических уравнений (</w:t>
      </w:r>
      <w:proofErr w:type="spellStart"/>
      <w:r>
        <w:t>Пр</w:t>
      </w:r>
      <w:proofErr w:type="spellEnd"/>
      <w:r>
        <w:t xml:space="preserve"> - №13). 2 балла получили</w:t>
      </w:r>
      <w:r w:rsidR="00826981">
        <w:t xml:space="preserve"> </w:t>
      </w:r>
      <w:r>
        <w:t>10,5</w:t>
      </w:r>
      <w:r w:rsidR="00826981">
        <w:t>%</w:t>
      </w:r>
      <w:r>
        <w:t xml:space="preserve"> обучающи</w:t>
      </w:r>
      <w:r w:rsidR="00826981">
        <w:t>х</w:t>
      </w:r>
      <w:r>
        <w:t>ся, по 1 баллу – 12,3%.</w:t>
      </w:r>
    </w:p>
    <w:p w:rsidR="00C95B41" w:rsidRDefault="00C95B41" w:rsidP="001B6FAB">
      <w:pPr>
        <w:ind w:firstLine="567"/>
        <w:jc w:val="both"/>
      </w:pPr>
      <w:r w:rsidRPr="00826981">
        <w:rPr>
          <w:i/>
        </w:rPr>
        <w:t>Задание 16</w:t>
      </w:r>
      <w:r>
        <w:t xml:space="preserve"> стереометрическая задача (</w:t>
      </w:r>
      <w:proofErr w:type="spellStart"/>
      <w:r>
        <w:t>Пр</w:t>
      </w:r>
      <w:proofErr w:type="spellEnd"/>
      <w:r>
        <w:t xml:space="preserve"> - №14). 2 балла получил 1 ученик (1,9%) и один ученик (1,9%) – 1 балл.</w:t>
      </w:r>
    </w:p>
    <w:p w:rsidR="00826981" w:rsidRDefault="00C95B41" w:rsidP="001B6FAB">
      <w:pPr>
        <w:ind w:firstLine="567"/>
        <w:jc w:val="both"/>
      </w:pPr>
      <w:r w:rsidRPr="00826981">
        <w:rPr>
          <w:i/>
        </w:rPr>
        <w:t>Задание 17</w:t>
      </w:r>
      <w:r>
        <w:t xml:space="preserve"> неравенства (</w:t>
      </w:r>
      <w:proofErr w:type="spellStart"/>
      <w:r>
        <w:t>Пр</w:t>
      </w:r>
      <w:proofErr w:type="spellEnd"/>
      <w:r>
        <w:t xml:space="preserve"> - №15</w:t>
      </w:r>
      <w:r w:rsidR="00826981">
        <w:t>) рациональные и иррациональные. По 1 баллу получили 15,8% учеников.</w:t>
      </w:r>
    </w:p>
    <w:p w:rsidR="00826981" w:rsidRDefault="00826981" w:rsidP="001B6FAB">
      <w:pPr>
        <w:ind w:firstLine="567"/>
        <w:jc w:val="both"/>
      </w:pPr>
      <w:r w:rsidRPr="00826981">
        <w:rPr>
          <w:i/>
        </w:rPr>
        <w:t>Задание 18</w:t>
      </w:r>
      <w:r>
        <w:t xml:space="preserve"> планиметрическая задача (</w:t>
      </w:r>
      <w:proofErr w:type="spellStart"/>
      <w:r>
        <w:t>Пр</w:t>
      </w:r>
      <w:proofErr w:type="spellEnd"/>
      <w:r>
        <w:t xml:space="preserve"> - №16) многоугольники и их свойства. 1 балл </w:t>
      </w:r>
      <w:r w:rsidR="00F251F0">
        <w:t xml:space="preserve">Получил </w:t>
      </w:r>
      <w:r>
        <w:t>1 ученик (1,9%)</w:t>
      </w:r>
    </w:p>
    <w:p w:rsidR="00826981" w:rsidRDefault="00826981" w:rsidP="001B6FAB">
      <w:pPr>
        <w:ind w:firstLine="567"/>
        <w:jc w:val="both"/>
      </w:pPr>
      <w:r w:rsidRPr="00826981">
        <w:rPr>
          <w:i/>
        </w:rPr>
        <w:t>Задание 19</w:t>
      </w:r>
      <w:r>
        <w:t xml:space="preserve"> финансовая математика (</w:t>
      </w:r>
      <w:proofErr w:type="spellStart"/>
      <w:r>
        <w:t>Пр</w:t>
      </w:r>
      <w:proofErr w:type="spellEnd"/>
      <w:r>
        <w:t xml:space="preserve"> - №17) на оптимальный выбор, банковская на вклады. 2 балла получили 2 ученика (3,5%) и 1 ученик (1,9%) получил 3 балла.</w:t>
      </w:r>
    </w:p>
    <w:p w:rsidR="00826981" w:rsidRDefault="00826981" w:rsidP="001B6FAB">
      <w:pPr>
        <w:ind w:firstLine="567"/>
        <w:jc w:val="both"/>
      </w:pPr>
      <w:r w:rsidRPr="00826981">
        <w:rPr>
          <w:i/>
        </w:rPr>
        <w:t>Задание 20</w:t>
      </w:r>
      <w:r>
        <w:t xml:space="preserve"> задача с параметрами (</w:t>
      </w:r>
      <w:proofErr w:type="spellStart"/>
      <w:r>
        <w:t>Пр</w:t>
      </w:r>
      <w:proofErr w:type="spellEnd"/>
      <w:r>
        <w:t xml:space="preserve"> - №18). К выполнению приступили только 7 обучающихся, но все получили за задание 0 баллов.</w:t>
      </w:r>
    </w:p>
    <w:p w:rsidR="00C95B41" w:rsidRPr="00C95B41" w:rsidRDefault="00826981" w:rsidP="001B6FAB">
      <w:pPr>
        <w:ind w:firstLine="567"/>
        <w:jc w:val="both"/>
      </w:pPr>
      <w:r w:rsidRPr="00826981">
        <w:rPr>
          <w:i/>
        </w:rPr>
        <w:t>Задание 21</w:t>
      </w:r>
      <w:r>
        <w:t xml:space="preserve"> числа и их свойства (</w:t>
      </w:r>
      <w:proofErr w:type="spellStart"/>
      <w:r>
        <w:t>Пр</w:t>
      </w:r>
      <w:proofErr w:type="spellEnd"/>
      <w:r>
        <w:t xml:space="preserve"> - №19) 3 обучающихся (5,3%) верно выполнили только пункт 1. </w:t>
      </w:r>
      <w:r w:rsidR="00C95B41">
        <w:t xml:space="preserve">  </w:t>
      </w:r>
    </w:p>
    <w:p w:rsidR="00FB179D" w:rsidRDefault="006D7F1D" w:rsidP="001B6FAB">
      <w:pPr>
        <w:ind w:firstLine="567"/>
        <w:jc w:val="both"/>
      </w:pPr>
      <w:r>
        <w:t>К выполнению заданий с полным решением приступили 48 учащихся (84,2%), набрали 1 балл и более 18 одиннадцатиклассников (31,6%), из них более двух баллов – 7 человек.</w:t>
      </w:r>
    </w:p>
    <w:p w:rsidR="006D7F1D" w:rsidRDefault="006D7F1D" w:rsidP="001B6FAB">
      <w:pPr>
        <w:ind w:firstLine="567"/>
        <w:jc w:val="both"/>
      </w:pPr>
    </w:p>
    <w:p w:rsidR="006D7F1D" w:rsidRDefault="006D7F1D" w:rsidP="001B6FAB">
      <w:pPr>
        <w:ind w:firstLine="567"/>
        <w:jc w:val="both"/>
      </w:pPr>
      <w:r>
        <w:t xml:space="preserve">Рассмотрим выполнение контрольной работы по группам с различной </w:t>
      </w:r>
      <w:r w:rsidR="009E40D4">
        <w:t>математической</w:t>
      </w:r>
      <w:r>
        <w:t xml:space="preserve"> подготовкой.</w:t>
      </w:r>
    </w:p>
    <w:p w:rsidR="001818FA" w:rsidRDefault="001818FA" w:rsidP="001B6FAB">
      <w:pPr>
        <w:ind w:firstLine="567"/>
        <w:jc w:val="both"/>
      </w:pPr>
      <w:r>
        <w:rPr>
          <w:noProof/>
        </w:rPr>
        <w:lastRenderedPageBreak/>
        <w:drawing>
          <wp:inline distT="0" distB="0" distL="0" distR="0">
            <wp:extent cx="5486400" cy="1931213"/>
            <wp:effectExtent l="0" t="0" r="0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18FA" w:rsidRDefault="001818FA" w:rsidP="001818FA"/>
    <w:p w:rsidR="006D7F1D" w:rsidRDefault="00B373F0" w:rsidP="00B373F0">
      <w:pPr>
        <w:ind w:firstLine="567"/>
      </w:pPr>
      <w:r>
        <w:t xml:space="preserve">По сравнению с ВКР из диаграммы видно, что учащихся как с минимальной подготовкой, так и с хорошей подготовкой, стало меньше. Значительно увеличилась группа учащихся, показавших базовый уровень подготовки. </w:t>
      </w:r>
      <w:r w:rsidR="00842A81">
        <w:t xml:space="preserve"> </w:t>
      </w:r>
    </w:p>
    <w:p w:rsidR="00842A81" w:rsidRDefault="00842A81" w:rsidP="00B373F0">
      <w:pPr>
        <w:ind w:firstLine="567"/>
      </w:pPr>
      <w:r>
        <w:t xml:space="preserve">В сравнении с ВКР 13 учащихся (22,8%) повторили свой результат, повысили балл – 23 ученика 40,3%, понизили – 21 (36,8%). </w:t>
      </w:r>
    </w:p>
    <w:p w:rsidR="00842A81" w:rsidRDefault="00842A81" w:rsidP="00B373F0">
      <w:pPr>
        <w:ind w:firstLine="567"/>
      </w:pPr>
    </w:p>
    <w:p w:rsidR="007F0F21" w:rsidRDefault="00842A81" w:rsidP="00B373F0">
      <w:pPr>
        <w:ind w:firstLine="567"/>
      </w:pPr>
      <w:r>
        <w:t>Рассмотрим выполнение заданий по группам с низким уровнем и базовым уровнем</w:t>
      </w:r>
      <w:r w:rsidR="0093215F">
        <w:t xml:space="preserve"> (задания с кратким ответом)</w:t>
      </w:r>
    </w:p>
    <w:p w:rsidR="00842A81" w:rsidRDefault="007F0F21" w:rsidP="007F0F21">
      <w:r>
        <w:rPr>
          <w:noProof/>
        </w:rPr>
        <w:drawing>
          <wp:inline distT="0" distB="0" distL="0" distR="0">
            <wp:extent cx="6473825" cy="2450592"/>
            <wp:effectExtent l="0" t="0" r="3175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2A81" w:rsidRDefault="00842A81" w:rsidP="00B373F0">
      <w:pPr>
        <w:ind w:firstLine="567"/>
      </w:pPr>
    </w:p>
    <w:p w:rsidR="00C061FB" w:rsidRDefault="00D50BFA" w:rsidP="00C061FB">
      <w:pPr>
        <w:ind w:firstLine="567"/>
        <w:jc w:val="both"/>
      </w:pPr>
      <w:r>
        <w:t>Из диаграм</w:t>
      </w:r>
      <w:r w:rsidR="008C3086">
        <w:t>мы видно, что учащиеся из группы с низкой подготовкой</w:t>
      </w:r>
      <w:r>
        <w:t xml:space="preserve"> вряд ли смогут преодолеть минимальную границу при сдаче базового экзамена, так как не отработаны многие умения. Это геометрический материал (№4, №9, №12), применение производной к исследованию функции (№8, №14), задачи с прикладным содержанием и текстовые задачи (№11. №13). Данные учащиеся требуют особого контроля, даже базовые задания они выполняют на низком уровне (формулировки заданий №11-№14 встречаются только на профильном экзамене). </w:t>
      </w:r>
    </w:p>
    <w:p w:rsidR="00C061FB" w:rsidRDefault="00C061FB" w:rsidP="00C061FB">
      <w:pPr>
        <w:ind w:firstLine="567"/>
        <w:jc w:val="both"/>
      </w:pPr>
      <w:r>
        <w:t xml:space="preserve">С такими учащимися необходимо работать индивидуально. Прорабатывание тем </w:t>
      </w:r>
      <w:r w:rsidR="008C3086">
        <w:t>надо</w:t>
      </w:r>
      <w:r>
        <w:t xml:space="preserve"> начинать с теории. Подбирать </w:t>
      </w:r>
      <w:r w:rsidRPr="00C061FB">
        <w:t xml:space="preserve">материал в виде логически взаимосвязанной системы, где из одного следует другое. </w:t>
      </w:r>
      <w:r>
        <w:t>Т</w:t>
      </w:r>
      <w:r w:rsidRPr="00C061FB">
        <w:t>ренировочные тесты следует проводить с ограничением времени, чтобы учащиеся могли контролировать себя - за какое время сколько заданий они успевают решить.</w:t>
      </w:r>
      <w:r>
        <w:t xml:space="preserve"> Ф</w:t>
      </w:r>
      <w:r w:rsidRPr="00C061FB">
        <w:t>ормир</w:t>
      </w:r>
      <w:r>
        <w:t>овать</w:t>
      </w:r>
      <w:r w:rsidRPr="00C061FB">
        <w:t xml:space="preserve"> у учеников навыки самообразования, критического мышления, самостоятельной работы, самоорганизации и самоконтроля.</w:t>
      </w:r>
    </w:p>
    <w:p w:rsidR="00C061FB" w:rsidRPr="00C061FB" w:rsidRDefault="008C3086" w:rsidP="00C061FB">
      <w:pPr>
        <w:ind w:firstLine="567"/>
        <w:jc w:val="both"/>
      </w:pPr>
      <w:r>
        <w:t>С заданиями части 1 справляются 55-68% участников базового уровня подготовки, исключение составляют задания №5 (вероятность), №8</w:t>
      </w:r>
      <w:r w:rsidR="009E40D4">
        <w:t xml:space="preserve"> </w:t>
      </w:r>
      <w:r>
        <w:t xml:space="preserve">(производная и первообразная), №9 (стереометрия), с ними справляются от трети до половины учащихся. Из заданий части 2 наибольший результат был получен при выполнении задания 10 </w:t>
      </w:r>
      <w:r w:rsidR="0097409A">
        <w:t xml:space="preserve">(вычисления и преобразования), справилось 68,9%, по 48,9% справились с заданиями №11 (задачи с прикладным содержанием) и №12 (стереометрия). Треть участников стравились с заданием №13 (текстовая задача) и 28,9% участников справились с заданием №14 (наибольшее и наименьшее значение функции). И менее четверти учащихся получили баллы за задание №15 </w:t>
      </w:r>
      <w:r w:rsidR="0097409A">
        <w:lastRenderedPageBreak/>
        <w:t>(тригонометрическое уравнение). Для улучшения математической подготовк</w:t>
      </w:r>
      <w:r w:rsidR="009E40D4">
        <w:t>и</w:t>
      </w:r>
      <w:r w:rsidR="0097409A">
        <w:t xml:space="preserve"> в данной группе учащихся </w:t>
      </w:r>
      <w:r w:rsidR="00521F84">
        <w:t>надо работать над заданиями</w:t>
      </w:r>
      <w:r w:rsidR="009E40D4">
        <w:t>:</w:t>
      </w:r>
      <w:r w:rsidR="00521F84">
        <w:t xml:space="preserve"> производная и первообразная, стереометрия, задача с прикладным содержанием, текстовые задачи и наибольшее и наименьшее значение функции.</w:t>
      </w:r>
    </w:p>
    <w:p w:rsidR="00D50BFA" w:rsidRDefault="00521F84" w:rsidP="00D50BFA">
      <w:pPr>
        <w:ind w:firstLine="567"/>
        <w:jc w:val="both"/>
      </w:pPr>
      <w:r>
        <w:t xml:space="preserve">Более 12 баллов </w:t>
      </w:r>
      <w:r w:rsidR="001E48E1">
        <w:t xml:space="preserve">на контрольной работе </w:t>
      </w:r>
      <w:r>
        <w:t>набрали только трое обучающихся, на ВКР таких учащихся было семеро. Сравним результаты этих учащих на ВКР и ДКР №2.</w:t>
      </w:r>
    </w:p>
    <w:p w:rsidR="00521F84" w:rsidRDefault="001E48E1" w:rsidP="001E48E1">
      <w:pPr>
        <w:jc w:val="both"/>
      </w:pPr>
      <w:r>
        <w:rPr>
          <w:noProof/>
        </w:rPr>
        <w:drawing>
          <wp:inline distT="0" distB="0" distL="0" distR="0">
            <wp:extent cx="6407785" cy="2172614"/>
            <wp:effectExtent l="0" t="0" r="1206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48E1" w:rsidRDefault="007A6F22" w:rsidP="007A6F22">
      <w:pPr>
        <w:ind w:firstLine="567"/>
        <w:jc w:val="both"/>
      </w:pPr>
      <w:r>
        <w:t xml:space="preserve">Из диаграммы видно, что учащиеся, которые показали на ВКР хороший результат, контрольную работу №2 написали </w:t>
      </w:r>
      <w:r w:rsidR="00AE2533">
        <w:t>хуже практически по всем заданиям с кратким ответом, особенно низкие результаты в №8 (производная и первообразная), №9 (стереометрия) и №14 (наибольшее и наименьшее значение функции).</w:t>
      </w:r>
    </w:p>
    <w:p w:rsidR="00B74595" w:rsidRDefault="00B74595" w:rsidP="007A6F22">
      <w:pPr>
        <w:ind w:firstLine="567"/>
        <w:jc w:val="both"/>
      </w:pPr>
      <w:r>
        <w:t>Если сравнивать задания с полным решением, то данная группа учащихся улучшила результаты только в №15 (тригонометрические уравнения)</w:t>
      </w:r>
      <w:r w:rsidR="0067592C">
        <w:t>, по остальным заданиям не наблюдается улучшение, и даже некий спад (№19 – финансовая математика, № 21 – числа и их свойства)</w:t>
      </w:r>
      <w:r w:rsidR="00733167">
        <w:t xml:space="preserve">. </w:t>
      </w:r>
    </w:p>
    <w:p w:rsidR="009065F9" w:rsidRDefault="009065F9" w:rsidP="007A6F22">
      <w:pPr>
        <w:ind w:firstLine="567"/>
        <w:jc w:val="both"/>
      </w:pPr>
    </w:p>
    <w:p w:rsidR="009065F9" w:rsidRDefault="009065F9" w:rsidP="007A6F22">
      <w:pPr>
        <w:ind w:firstLine="567"/>
        <w:jc w:val="both"/>
        <w:rPr>
          <w:b/>
        </w:rPr>
      </w:pPr>
      <w:r>
        <w:rPr>
          <w:b/>
        </w:rPr>
        <w:t>Результаты контрольной работы в разрезе школ.</w:t>
      </w:r>
    </w:p>
    <w:p w:rsidR="009065F9" w:rsidRPr="009065F9" w:rsidRDefault="00591D2C" w:rsidP="007A6F22">
      <w:pPr>
        <w:ind w:firstLine="567"/>
        <w:jc w:val="both"/>
      </w:pPr>
      <w:r>
        <w:rPr>
          <w:noProof/>
        </w:rPr>
        <w:drawing>
          <wp:inline distT="0" distB="0" distL="0" distR="0">
            <wp:extent cx="5486400" cy="2340864"/>
            <wp:effectExtent l="0" t="0" r="0" b="25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65F9" w:rsidRDefault="009065F9" w:rsidP="007A6F22">
      <w:pPr>
        <w:ind w:firstLine="567"/>
        <w:jc w:val="both"/>
      </w:pPr>
    </w:p>
    <w:p w:rsidR="00066FED" w:rsidRDefault="00066FED" w:rsidP="009065F9">
      <w:pPr>
        <w:ind w:firstLine="567"/>
      </w:pPr>
      <w:r>
        <w:t xml:space="preserve">Из диаграммы видно, что практически по всем школам произошло снижение среднего балла. Повысился средний балл </w:t>
      </w:r>
      <w:r w:rsidR="002B3F14">
        <w:t xml:space="preserve">только </w:t>
      </w:r>
      <w:r>
        <w:t xml:space="preserve">в </w:t>
      </w:r>
      <w:r w:rsidR="002B3F14">
        <w:t xml:space="preserve">нескольких школах: </w:t>
      </w:r>
      <w:r>
        <w:t>МОБУ «Державинская СОШ», МОБУ «Елшанская Первая СОШ», МОБУ «Новоалександровская СОШ», МОБУ «Палимовская СОШ».</w:t>
      </w:r>
    </w:p>
    <w:p w:rsidR="00066FED" w:rsidRDefault="00066FED" w:rsidP="009065F9">
      <w:pPr>
        <w:ind w:firstLine="567"/>
      </w:pPr>
    </w:p>
    <w:p w:rsidR="002B3F14" w:rsidRDefault="00DB34B3" w:rsidP="00DB34B3">
      <w:r>
        <w:rPr>
          <w:noProof/>
        </w:rPr>
        <w:lastRenderedPageBreak/>
        <w:drawing>
          <wp:inline distT="0" distB="0" distL="0" distR="0" wp14:anchorId="6FE82025" wp14:editId="37260C79">
            <wp:extent cx="6291072" cy="3049905"/>
            <wp:effectExtent l="0" t="0" r="14605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32D4" w:rsidRDefault="00D232D4" w:rsidP="00D232D4">
      <w:pPr>
        <w:ind w:firstLine="567"/>
        <w:jc w:val="both"/>
      </w:pPr>
      <w:r>
        <w:t>Из диаграммы видно, что в основном во всех школах учащиеся готовы сдавать математику на базовом уровне. Есть ряд школ, учащиеся которых не преодолели минимальный порог: МОБУ «Верхневязовская СОШ» (1 ученик), МОБУ «</w:t>
      </w:r>
      <w:proofErr w:type="spellStart"/>
      <w:r>
        <w:t>Жилинская</w:t>
      </w:r>
      <w:proofErr w:type="spellEnd"/>
      <w:r>
        <w:t xml:space="preserve"> СОШ» (2 ученика), МОБУ «Искровская СОШ» (1 ученик), МОБУ «Палимовская СОШ» (3 ученика), МОБУ «Подколкинская СОШ» (1 ученик), МОБУ «Тупиковская СОШ» (1 ученик).</w:t>
      </w:r>
    </w:p>
    <w:p w:rsidR="00D232D4" w:rsidRDefault="00B1555C" w:rsidP="00D232D4">
      <w:pPr>
        <w:ind w:firstLine="567"/>
        <w:jc w:val="both"/>
      </w:pPr>
      <w:r>
        <w:t>12</w:t>
      </w:r>
      <w:r w:rsidR="00D232D4">
        <w:t xml:space="preserve"> учащихся имеют пограничный балл (6 баллов) из </w:t>
      </w:r>
      <w:r>
        <w:t>МОБУ «Боровая СОШ» (1 ученик), МОБУ «Державинская СОШ» (1 ученик), МОБУ «Елшанская Первая СОШ» (1 ученик), МОБУ «</w:t>
      </w:r>
      <w:proofErr w:type="spellStart"/>
      <w:r>
        <w:t>Жилинская</w:t>
      </w:r>
      <w:proofErr w:type="spellEnd"/>
      <w:r>
        <w:t xml:space="preserve"> СОШ» (1 ученик), МОБУ «Новоалександровская СОШ» (2 ученика), </w:t>
      </w:r>
      <w:r w:rsidR="00D232D4">
        <w:t>МОБУ «</w:t>
      </w:r>
      <w:proofErr w:type="spellStart"/>
      <w:r w:rsidR="00D232D4">
        <w:t>Палимовской</w:t>
      </w:r>
      <w:proofErr w:type="spellEnd"/>
      <w:r w:rsidR="00D232D4">
        <w:t xml:space="preserve"> СОШ» (1 ученик), МОБУ «</w:t>
      </w:r>
      <w:proofErr w:type="spellStart"/>
      <w:r w:rsidR="00D232D4">
        <w:t>Сухореченская</w:t>
      </w:r>
      <w:proofErr w:type="spellEnd"/>
      <w:r w:rsidR="00D232D4">
        <w:t xml:space="preserve"> СОШ» (1 ученик). МОБУ «Троицкая СОШ» (1 ученик) и МОБУ «Тупиковская СОШ» (3 ученика).</w:t>
      </w:r>
    </w:p>
    <w:p w:rsidR="009065F9" w:rsidRDefault="00376FA9" w:rsidP="00376FA9">
      <w:pPr>
        <w:ind w:firstLine="567"/>
        <w:jc w:val="both"/>
      </w:pPr>
      <w:r>
        <w:t>О</w:t>
      </w:r>
      <w:r w:rsidR="009065F9" w:rsidRPr="009065F9">
        <w:t>бобщая выше сказанное, следует сделать вывод о недостаточной работе</w:t>
      </w:r>
      <w:r>
        <w:t xml:space="preserve"> </w:t>
      </w:r>
      <w:r w:rsidR="009065F9" w:rsidRPr="009065F9">
        <w:t xml:space="preserve">учителей математики по подготовке выпускников к </w:t>
      </w:r>
      <w:r>
        <w:t>ГИА</w:t>
      </w:r>
      <w:r w:rsidR="009065F9" w:rsidRPr="009065F9">
        <w:t xml:space="preserve">. </w:t>
      </w:r>
      <w:r>
        <w:t xml:space="preserve"> Следует у</w:t>
      </w:r>
      <w:r w:rsidR="009065F9" w:rsidRPr="009065F9">
        <w:t>казать на</w:t>
      </w:r>
      <w:r>
        <w:t xml:space="preserve"> </w:t>
      </w:r>
      <w:r w:rsidR="009065F9" w:rsidRPr="009065F9">
        <w:t>ослабленный контроль администрации школы за деятельностью учителя по подготовке учащихся к</w:t>
      </w:r>
      <w:r>
        <w:t xml:space="preserve"> </w:t>
      </w:r>
      <w:r w:rsidR="009065F9" w:rsidRPr="009065F9">
        <w:t>итоговой аттестации</w:t>
      </w:r>
      <w:r>
        <w:t xml:space="preserve"> по математике.</w:t>
      </w:r>
    </w:p>
    <w:p w:rsidR="00376FA9" w:rsidRPr="009065F9" w:rsidRDefault="00376FA9" w:rsidP="00376FA9">
      <w:pPr>
        <w:ind w:firstLine="567"/>
        <w:jc w:val="both"/>
      </w:pPr>
    </w:p>
    <w:p w:rsidR="00376FA9" w:rsidRPr="00376FA9" w:rsidRDefault="00376FA9" w:rsidP="00376FA9">
      <w:pPr>
        <w:ind w:firstLine="567"/>
      </w:pPr>
      <w:r w:rsidRPr="00376FA9">
        <w:rPr>
          <w:b/>
          <w:bCs/>
        </w:rPr>
        <w:t>Рекомендации:</w:t>
      </w:r>
    </w:p>
    <w:p w:rsidR="00376FA9" w:rsidRPr="00376FA9" w:rsidRDefault="00376FA9" w:rsidP="00376FA9">
      <w:pPr>
        <w:ind w:firstLine="567"/>
      </w:pPr>
      <w:r>
        <w:t>Руководителям</w:t>
      </w:r>
      <w:r w:rsidRPr="00376FA9">
        <w:t xml:space="preserve"> ОО:</w:t>
      </w:r>
    </w:p>
    <w:p w:rsidR="00376FA9" w:rsidRDefault="00376FA9" w:rsidP="00376FA9">
      <w:pPr>
        <w:pStyle w:val="a4"/>
        <w:numPr>
          <w:ilvl w:val="0"/>
          <w:numId w:val="1"/>
        </w:numPr>
        <w:ind w:left="426"/>
        <w:jc w:val="both"/>
      </w:pPr>
      <w:r>
        <w:t>Проанализировать результаты контрольной работы №2, обсудить результаты на педагогическом совете;</w:t>
      </w:r>
    </w:p>
    <w:p w:rsidR="00376FA9" w:rsidRPr="00376FA9" w:rsidRDefault="00376FA9" w:rsidP="00376FA9">
      <w:pPr>
        <w:pStyle w:val="a4"/>
        <w:numPr>
          <w:ilvl w:val="0"/>
          <w:numId w:val="1"/>
        </w:numPr>
        <w:ind w:left="426"/>
        <w:jc w:val="both"/>
      </w:pPr>
      <w:r w:rsidRPr="00376FA9">
        <w:t>Довести до сведения родителей (законных представителей) выпускников 11-х классов результаты диагностической работы № 2;</w:t>
      </w:r>
    </w:p>
    <w:p w:rsidR="00376FA9" w:rsidRPr="00376FA9" w:rsidRDefault="00376FA9" w:rsidP="00376FA9">
      <w:pPr>
        <w:pStyle w:val="a4"/>
        <w:numPr>
          <w:ilvl w:val="0"/>
          <w:numId w:val="1"/>
        </w:numPr>
        <w:ind w:left="426"/>
        <w:jc w:val="both"/>
      </w:pPr>
      <w:r w:rsidRPr="00376FA9">
        <w:t>Изучить спрос родителей на сдачу ЕГЭ по математике на профильном уровне, рекомендовав выпускникам, набравшим 6-10 баллов, сдачу ЕГЭ на базовом уровне, наряду с профильным;</w:t>
      </w:r>
    </w:p>
    <w:p w:rsidR="00376FA9" w:rsidRPr="00376FA9" w:rsidRDefault="00376FA9" w:rsidP="00376FA9">
      <w:pPr>
        <w:pStyle w:val="a4"/>
        <w:numPr>
          <w:ilvl w:val="0"/>
          <w:numId w:val="1"/>
        </w:numPr>
        <w:ind w:left="426"/>
        <w:jc w:val="both"/>
      </w:pPr>
      <w:r w:rsidRPr="00376FA9">
        <w:t xml:space="preserve">Разместить на стенде по подготовке к ЕГЭ актуальную информацию по подготовке к ЕГЭ, адреса сайтов ФИПИ, Министерства </w:t>
      </w:r>
      <w:r>
        <w:t>просвещения</w:t>
      </w:r>
      <w:r w:rsidRPr="00376FA9">
        <w:t xml:space="preserve"> РФ, официального сайта ЕГЭ, телефоны региональной и муниципальной «горячих» линий, информационные плакаты по подготовке к ЕГЭ 201</w:t>
      </w:r>
      <w:r>
        <w:t>9</w:t>
      </w:r>
      <w:r w:rsidRPr="00376FA9">
        <w:t xml:space="preserve"> г;</w:t>
      </w:r>
    </w:p>
    <w:p w:rsidR="00376FA9" w:rsidRPr="00376FA9" w:rsidRDefault="00376FA9" w:rsidP="00376FA9">
      <w:pPr>
        <w:pStyle w:val="a4"/>
        <w:numPr>
          <w:ilvl w:val="0"/>
          <w:numId w:val="1"/>
        </w:numPr>
        <w:ind w:left="426"/>
        <w:jc w:val="both"/>
      </w:pPr>
      <w:r w:rsidRPr="00376FA9">
        <w:t>Организовать контроль за работой учителей-предметников с разными группами обучающихся по индивидуальным образовательным маршрутам (ИОМ) по подготовке к ЕГЭ;</w:t>
      </w:r>
    </w:p>
    <w:p w:rsidR="00376FA9" w:rsidRPr="00376FA9" w:rsidRDefault="00376FA9" w:rsidP="00376FA9">
      <w:pPr>
        <w:ind w:firstLine="567"/>
        <w:jc w:val="both"/>
      </w:pPr>
      <w:r w:rsidRPr="00376FA9">
        <w:t>Учителям-предметникам:</w:t>
      </w:r>
    </w:p>
    <w:p w:rsidR="00376FA9" w:rsidRPr="00376FA9" w:rsidRDefault="00376FA9" w:rsidP="00376FA9">
      <w:pPr>
        <w:pStyle w:val="a4"/>
        <w:numPr>
          <w:ilvl w:val="0"/>
          <w:numId w:val="2"/>
        </w:numPr>
        <w:ind w:left="426"/>
        <w:jc w:val="both"/>
      </w:pPr>
      <w:r>
        <w:t>У</w:t>
      </w:r>
      <w:r w:rsidRPr="00376FA9">
        <w:t>честь результаты диагностической работы при коррекции ИОМ для организации индивидуальных, групповых занятий с обучающимися разных групп с целью подготовки к ГИА;</w:t>
      </w:r>
    </w:p>
    <w:p w:rsidR="00376FA9" w:rsidRDefault="00376FA9" w:rsidP="00376FA9">
      <w:pPr>
        <w:pStyle w:val="a4"/>
        <w:numPr>
          <w:ilvl w:val="0"/>
          <w:numId w:val="2"/>
        </w:numPr>
        <w:ind w:left="426"/>
        <w:jc w:val="both"/>
      </w:pPr>
      <w:r w:rsidRPr="00376FA9">
        <w:t>Организовать работу на уроках, внеурочных занятиях с ориентацией на различные группы обучающихся с учетом запросов выпускников по выбору уровня ЕГЭ по математике.</w:t>
      </w:r>
    </w:p>
    <w:p w:rsidR="00DB34B3" w:rsidRDefault="00DB34B3" w:rsidP="00BB63F0">
      <w:pPr>
        <w:ind w:left="708"/>
        <w:jc w:val="both"/>
      </w:pPr>
    </w:p>
    <w:p w:rsidR="00842A81" w:rsidRPr="001818FA" w:rsidRDefault="00BB63F0" w:rsidP="0001366C">
      <w:pPr>
        <w:ind w:left="708"/>
        <w:jc w:val="both"/>
      </w:pPr>
      <w:r w:rsidRPr="00DB34B3">
        <w:rPr>
          <w:sz w:val="22"/>
        </w:rPr>
        <w:t>Справку составила Яркова А.А.</w:t>
      </w:r>
      <w:r w:rsidR="0001366C">
        <w:rPr>
          <w:sz w:val="22"/>
        </w:rPr>
        <w:t>, руководитель РМО учителей математики</w:t>
      </w:r>
      <w:bookmarkStart w:id="0" w:name="_GoBack"/>
      <w:bookmarkEnd w:id="0"/>
    </w:p>
    <w:sectPr w:rsidR="00842A81" w:rsidRPr="001818FA" w:rsidSect="00DB34B3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813"/>
    <w:multiLevelType w:val="hybridMultilevel"/>
    <w:tmpl w:val="AE1E3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4D6A3F"/>
    <w:multiLevelType w:val="hybridMultilevel"/>
    <w:tmpl w:val="8E607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7A"/>
    <w:rsid w:val="00002E9A"/>
    <w:rsid w:val="0001366C"/>
    <w:rsid w:val="00066FED"/>
    <w:rsid w:val="000B38D9"/>
    <w:rsid w:val="001818FA"/>
    <w:rsid w:val="001B6FAB"/>
    <w:rsid w:val="001C297A"/>
    <w:rsid w:val="001E48E1"/>
    <w:rsid w:val="001F2321"/>
    <w:rsid w:val="002B3F14"/>
    <w:rsid w:val="00376FA9"/>
    <w:rsid w:val="003B3DAA"/>
    <w:rsid w:val="003B6D5C"/>
    <w:rsid w:val="004A19B1"/>
    <w:rsid w:val="00521F84"/>
    <w:rsid w:val="005610DB"/>
    <w:rsid w:val="0058777A"/>
    <w:rsid w:val="00591D2C"/>
    <w:rsid w:val="006543BF"/>
    <w:rsid w:val="0067592C"/>
    <w:rsid w:val="006D7F1D"/>
    <w:rsid w:val="006E2CC4"/>
    <w:rsid w:val="006F77B2"/>
    <w:rsid w:val="00731522"/>
    <w:rsid w:val="00733167"/>
    <w:rsid w:val="0076256D"/>
    <w:rsid w:val="007A6F22"/>
    <w:rsid w:val="007F0F21"/>
    <w:rsid w:val="00826981"/>
    <w:rsid w:val="00842A81"/>
    <w:rsid w:val="008556F6"/>
    <w:rsid w:val="008A4EE2"/>
    <w:rsid w:val="008C3086"/>
    <w:rsid w:val="009065F9"/>
    <w:rsid w:val="0093215F"/>
    <w:rsid w:val="00953B6B"/>
    <w:rsid w:val="00961849"/>
    <w:rsid w:val="0097409A"/>
    <w:rsid w:val="009A784A"/>
    <w:rsid w:val="009E40D4"/>
    <w:rsid w:val="009E5D70"/>
    <w:rsid w:val="00AE2533"/>
    <w:rsid w:val="00AE3A0D"/>
    <w:rsid w:val="00B1555C"/>
    <w:rsid w:val="00B373F0"/>
    <w:rsid w:val="00B74595"/>
    <w:rsid w:val="00B74B4A"/>
    <w:rsid w:val="00B967DC"/>
    <w:rsid w:val="00BB63F0"/>
    <w:rsid w:val="00BE60F1"/>
    <w:rsid w:val="00C061FB"/>
    <w:rsid w:val="00C95B41"/>
    <w:rsid w:val="00D07608"/>
    <w:rsid w:val="00D232D4"/>
    <w:rsid w:val="00D376BB"/>
    <w:rsid w:val="00D50BFA"/>
    <w:rsid w:val="00D5202D"/>
    <w:rsid w:val="00DB34B3"/>
    <w:rsid w:val="00F16E22"/>
    <w:rsid w:val="00F251F0"/>
    <w:rsid w:val="00F35B68"/>
    <w:rsid w:val="00F76A7A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66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9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61FB"/>
  </w:style>
  <w:style w:type="paragraph" w:styleId="a4">
    <w:name w:val="List Paragraph"/>
    <w:basedOn w:val="a"/>
    <w:uiPriority w:val="34"/>
    <w:qFormat/>
    <w:rsid w:val="00376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6C"/>
    <w:rPr>
      <w:rFonts w:ascii="Tahoma" w:eastAsia="Calibri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136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66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9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061FB"/>
  </w:style>
  <w:style w:type="paragraph" w:styleId="a4">
    <w:name w:val="List Paragraph"/>
    <w:basedOn w:val="a"/>
    <w:uiPriority w:val="34"/>
    <w:qFormat/>
    <w:rsid w:val="00376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6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6C"/>
    <w:rPr>
      <w:rFonts w:ascii="Tahoma" w:eastAsia="Calibri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136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часть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ВКР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6296296296296294E-3"/>
                  <c:y val="3.9682539682538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9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888888888888888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88888888888888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15740740740741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0.73599999999999999</c:v>
                </c:pt>
                <c:pt idx="1">
                  <c:v>0.49099999999999999</c:v>
                </c:pt>
                <c:pt idx="2">
                  <c:v>0.71899999999999997</c:v>
                </c:pt>
                <c:pt idx="3">
                  <c:v>0.40400000000000003</c:v>
                </c:pt>
                <c:pt idx="4">
                  <c:v>0.158</c:v>
                </c:pt>
                <c:pt idx="5">
                  <c:v>0.73699999999999999</c:v>
                </c:pt>
                <c:pt idx="6">
                  <c:v>0.33300000000000002</c:v>
                </c:pt>
                <c:pt idx="7">
                  <c:v>0.57899999999999996</c:v>
                </c:pt>
                <c:pt idx="8">
                  <c:v>0.42099999999999999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87E-3"/>
                  <c:y val="-7.9365079365080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5925925925923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574074074074073E-2"/>
                  <c:y val="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574074074074073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0.0%</c:formatCode>
                <c:ptCount val="9"/>
                <c:pt idx="0">
                  <c:v>0.49099999999999999</c:v>
                </c:pt>
                <c:pt idx="1">
                  <c:v>0.56100000000000005</c:v>
                </c:pt>
                <c:pt idx="2">
                  <c:v>0.78900000000000003</c:v>
                </c:pt>
                <c:pt idx="3">
                  <c:v>0.56100000000000005</c:v>
                </c:pt>
                <c:pt idx="4">
                  <c:v>0.40400000000000003</c:v>
                </c:pt>
                <c:pt idx="5">
                  <c:v>0.61399999999999999</c:v>
                </c:pt>
                <c:pt idx="6">
                  <c:v>0.56100000000000005</c:v>
                </c:pt>
                <c:pt idx="7">
                  <c:v>0.21099999999999999</c:v>
                </c:pt>
                <c:pt idx="8">
                  <c:v>0.38600000000000001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402304"/>
        <c:axId val="122403840"/>
      </c:barChart>
      <c:catAx>
        <c:axId val="12240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403840"/>
        <c:crosses val="autoZero"/>
        <c:auto val="1"/>
        <c:lblAlgn val="ctr"/>
        <c:lblOffset val="100"/>
        <c:noMultiLvlLbl val="0"/>
      </c:catAx>
      <c:valAx>
        <c:axId val="12240384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2240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часть 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ВКР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</c:numCache>
            </c:num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0.57899999999999996</c:v>
                </c:pt>
                <c:pt idx="1">
                  <c:v>0.49099999999999999</c:v>
                </c:pt>
                <c:pt idx="2">
                  <c:v>0.59599999999999997</c:v>
                </c:pt>
                <c:pt idx="3">
                  <c:v>0.21099999999999999</c:v>
                </c:pt>
                <c:pt idx="4">
                  <c:v>0.29799999999999999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14</c:v>
                </c:pt>
              </c:numCache>
            </c:num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0.64900000000000002</c:v>
                </c:pt>
                <c:pt idx="1">
                  <c:v>0.42099999999999999</c:v>
                </c:pt>
                <c:pt idx="2">
                  <c:v>0.439</c:v>
                </c:pt>
                <c:pt idx="3">
                  <c:v>0.28100000000000003</c:v>
                </c:pt>
                <c:pt idx="4">
                  <c:v>0.21099999999999999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315520"/>
        <c:axId val="122317056"/>
      </c:barChart>
      <c:catAx>
        <c:axId val="12231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317056"/>
        <c:crosses val="autoZero"/>
        <c:auto val="1"/>
        <c:lblAlgn val="ctr"/>
        <c:lblOffset val="100"/>
        <c:noMultiLvlLbl val="0"/>
      </c:catAx>
      <c:valAx>
        <c:axId val="122317056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2231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 группам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ВКР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базовый</c:v>
                </c:pt>
                <c:pt idx="2">
                  <c:v>базово-переход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0.193</c:v>
                </c:pt>
                <c:pt idx="1">
                  <c:v>0.59599999999999997</c:v>
                </c:pt>
                <c:pt idx="2">
                  <c:v>0.14000000000000001</c:v>
                </c:pt>
                <c:pt idx="3">
                  <c:v>7.0000000000000007E-2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ДКР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62037037037036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базовый</c:v>
                </c:pt>
                <c:pt idx="2">
                  <c:v>базово-переход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0.158</c:v>
                </c:pt>
                <c:pt idx="1">
                  <c:v>0.78900000000000003</c:v>
                </c:pt>
                <c:pt idx="2">
                  <c:v>3.5000000000000003E-2</c:v>
                </c:pt>
                <c:pt idx="3">
                  <c:v>1.7999999999999999E-2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226944"/>
        <c:axId val="182228480"/>
      </c:barChart>
      <c:catAx>
        <c:axId val="18222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228480"/>
        <c:crosses val="autoZero"/>
        <c:auto val="1"/>
        <c:lblAlgn val="ctr"/>
        <c:lblOffset val="100"/>
        <c:noMultiLvlLbl val="0"/>
      </c:catAx>
      <c:valAx>
        <c:axId val="182228480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18222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Выполняемость заданий в группах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0.222</c:v>
                </c:pt>
                <c:pt idx="1">
                  <c:v>0.44400000000000001</c:v>
                </c:pt>
                <c:pt idx="2">
                  <c:v>0.66700000000000004</c:v>
                </c:pt>
                <c:pt idx="3">
                  <c:v>0</c:v>
                </c:pt>
                <c:pt idx="4">
                  <c:v>0.33300000000000002</c:v>
                </c:pt>
                <c:pt idx="5">
                  <c:v>0.222</c:v>
                </c:pt>
                <c:pt idx="6">
                  <c:v>0.222</c:v>
                </c:pt>
                <c:pt idx="7">
                  <c:v>0</c:v>
                </c:pt>
                <c:pt idx="8">
                  <c:v>0.111</c:v>
                </c:pt>
                <c:pt idx="9">
                  <c:v>0.33300000000000002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Лист1!$C$2:$C$15</c:f>
              <c:numCache>
                <c:formatCode>0.0%</c:formatCode>
                <c:ptCount val="14"/>
                <c:pt idx="0">
                  <c:v>0.55500000000000005</c:v>
                </c:pt>
                <c:pt idx="1">
                  <c:v>0.57799999999999996</c:v>
                </c:pt>
                <c:pt idx="2">
                  <c:v>0.8</c:v>
                </c:pt>
                <c:pt idx="3">
                  <c:v>0.64400000000000002</c:v>
                </c:pt>
                <c:pt idx="4">
                  <c:v>0.4</c:v>
                </c:pt>
                <c:pt idx="5">
                  <c:v>0.68899999999999995</c:v>
                </c:pt>
                <c:pt idx="6">
                  <c:v>0.622</c:v>
                </c:pt>
                <c:pt idx="7">
                  <c:v>0.24399999999999999</c:v>
                </c:pt>
                <c:pt idx="8">
                  <c:v>0.42199999999999999</c:v>
                </c:pt>
                <c:pt idx="9">
                  <c:v>0.68899999999999995</c:v>
                </c:pt>
                <c:pt idx="10">
                  <c:v>0.48899999999999999</c:v>
                </c:pt>
                <c:pt idx="11">
                  <c:v>0.48899999999999999</c:v>
                </c:pt>
                <c:pt idx="12">
                  <c:v>0.311</c:v>
                </c:pt>
                <c:pt idx="13">
                  <c:v>0.28899999999999998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725632"/>
        <c:axId val="182743808"/>
      </c:barChart>
      <c:catAx>
        <c:axId val="18272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743808"/>
        <c:crosses val="autoZero"/>
        <c:auto val="1"/>
        <c:lblAlgn val="ctr"/>
        <c:lblOffset val="100"/>
        <c:noMultiLvlLbl val="0"/>
      </c:catAx>
      <c:valAx>
        <c:axId val="18274380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8272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3888888888888911E-2"/>
                  <c:y val="2.0486555697823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296296296296719E-3"/>
                  <c:y val="2.0486555697823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3.0729833546734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1</c:v>
                </c:pt>
                <c:pt idx="1">
                  <c:v>0.85699999999999998</c:v>
                </c:pt>
                <c:pt idx="2">
                  <c:v>1</c:v>
                </c:pt>
                <c:pt idx="3">
                  <c:v>0.71399999999999997</c:v>
                </c:pt>
                <c:pt idx="4">
                  <c:v>0.71399999999999997</c:v>
                </c:pt>
                <c:pt idx="5">
                  <c:v>0.85699999999999998</c:v>
                </c:pt>
                <c:pt idx="6">
                  <c:v>0.28599999999999998</c:v>
                </c:pt>
                <c:pt idx="7">
                  <c:v>0.71399999999999997</c:v>
                </c:pt>
                <c:pt idx="8">
                  <c:v>0.71399999999999997</c:v>
                </c:pt>
                <c:pt idx="9">
                  <c:v>1</c:v>
                </c:pt>
                <c:pt idx="10">
                  <c:v>0.71399999999999997</c:v>
                </c:pt>
                <c:pt idx="11">
                  <c:v>0.85699999999999998</c:v>
                </c:pt>
                <c:pt idx="12">
                  <c:v>0.57099999999999995</c:v>
                </c:pt>
                <c:pt idx="13">
                  <c:v>0.57099999999999995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1.8518518518518497E-2"/>
                  <c:y val="-1.173695361558821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296296296296294E-3"/>
                  <c:y val="-3.5851472471190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2592592592591737E-3"/>
                  <c:y val="-1.5364916773367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2962962962958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3148148148148064E-2"/>
                  <c:y val="5.12163892445582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0833333333333332E-2"/>
                  <c:y val="-5.12163892445587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1574074074074073E-2"/>
                  <c:y val="-4.09731113956466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64814814814815E-2"/>
                      <c:h val="7.674796092229828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Лист1!$C$2:$C$15</c:f>
              <c:numCache>
                <c:formatCode>0.0%</c:formatCode>
                <c:ptCount val="14"/>
                <c:pt idx="0">
                  <c:v>0.57099999999999995</c:v>
                </c:pt>
                <c:pt idx="1">
                  <c:v>0.71399999999999997</c:v>
                </c:pt>
                <c:pt idx="2">
                  <c:v>1</c:v>
                </c:pt>
                <c:pt idx="3">
                  <c:v>0.71399999999999997</c:v>
                </c:pt>
                <c:pt idx="4">
                  <c:v>0.71399999999999997</c:v>
                </c:pt>
                <c:pt idx="5">
                  <c:v>0.57099999999999995</c:v>
                </c:pt>
                <c:pt idx="6">
                  <c:v>0.71399999999999997</c:v>
                </c:pt>
                <c:pt idx="7">
                  <c:v>0.28599999999999998</c:v>
                </c:pt>
                <c:pt idx="8">
                  <c:v>0.14299999999999999</c:v>
                </c:pt>
                <c:pt idx="9">
                  <c:v>0.85699999999999998</c:v>
                </c:pt>
                <c:pt idx="10">
                  <c:v>0.57099999999999995</c:v>
                </c:pt>
                <c:pt idx="11">
                  <c:v>0.71399999999999997</c:v>
                </c:pt>
                <c:pt idx="12">
                  <c:v>0.57099999999999995</c:v>
                </c:pt>
                <c:pt idx="13">
                  <c:v>0.28599999999999998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007872"/>
        <c:axId val="183026048"/>
      </c:barChart>
      <c:catAx>
        <c:axId val="18300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026048"/>
        <c:crosses val="autoZero"/>
        <c:auto val="1"/>
        <c:lblAlgn val="ctr"/>
        <c:lblOffset val="100"/>
        <c:noMultiLvlLbl val="0"/>
      </c:catAx>
      <c:valAx>
        <c:axId val="18302604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8300787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(первичный)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ВКР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Боровая СОШ</c:v>
                </c:pt>
                <c:pt idx="1">
                  <c:v>Верхневязовская СОШ</c:v>
                </c:pt>
                <c:pt idx="2">
                  <c:v>Державинская СОШ</c:v>
                </c:pt>
                <c:pt idx="3">
                  <c:v>Елшанская Первая СОШ</c:v>
                </c:pt>
                <c:pt idx="4">
                  <c:v>Жилинская СОШ</c:v>
                </c:pt>
                <c:pt idx="5">
                  <c:v>Искровская СОШ</c:v>
                </c:pt>
                <c:pt idx="6">
                  <c:v>Новоалександровская СОШ</c:v>
                </c:pt>
                <c:pt idx="7">
                  <c:v>Палимовская СОШ</c:v>
                </c:pt>
                <c:pt idx="8">
                  <c:v>Подколкинская СОШ</c:v>
                </c:pt>
                <c:pt idx="9">
                  <c:v>Сухореченская СОШ</c:v>
                </c:pt>
                <c:pt idx="10">
                  <c:v>Троицкая СОШ</c:v>
                </c:pt>
                <c:pt idx="11">
                  <c:v>Тупиковская СОШ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9.6</c:v>
                </c:pt>
                <c:pt idx="1">
                  <c:v>9.6999999999999993</c:v>
                </c:pt>
                <c:pt idx="2">
                  <c:v>6.3</c:v>
                </c:pt>
                <c:pt idx="3">
                  <c:v>8.9</c:v>
                </c:pt>
                <c:pt idx="4">
                  <c:v>9.1999999999999993</c:v>
                </c:pt>
                <c:pt idx="5">
                  <c:v>7.5</c:v>
                </c:pt>
                <c:pt idx="6">
                  <c:v>8.3000000000000007</c:v>
                </c:pt>
                <c:pt idx="7">
                  <c:v>6.5</c:v>
                </c:pt>
                <c:pt idx="8">
                  <c:v>6</c:v>
                </c:pt>
                <c:pt idx="9">
                  <c:v>10.7</c:v>
                </c:pt>
                <c:pt idx="10">
                  <c:v>8</c:v>
                </c:pt>
                <c:pt idx="1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 №2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Боровая СОШ</c:v>
                </c:pt>
                <c:pt idx="1">
                  <c:v>Верхневязовская СОШ</c:v>
                </c:pt>
                <c:pt idx="2">
                  <c:v>Державинская СОШ</c:v>
                </c:pt>
                <c:pt idx="3">
                  <c:v>Елшанская Первая СОШ</c:v>
                </c:pt>
                <c:pt idx="4">
                  <c:v>Жилинская СОШ</c:v>
                </c:pt>
                <c:pt idx="5">
                  <c:v>Искровская СОШ</c:v>
                </c:pt>
                <c:pt idx="6">
                  <c:v>Новоалександровская СОШ</c:v>
                </c:pt>
                <c:pt idx="7">
                  <c:v>Палимовская СОШ</c:v>
                </c:pt>
                <c:pt idx="8">
                  <c:v>Подколкинская СОШ</c:v>
                </c:pt>
                <c:pt idx="9">
                  <c:v>Сухореченская СОШ</c:v>
                </c:pt>
                <c:pt idx="10">
                  <c:v>Троицкая СОШ</c:v>
                </c:pt>
                <c:pt idx="11">
                  <c:v>Тупиковская СОШ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8.4</c:v>
                </c:pt>
                <c:pt idx="1">
                  <c:v>6</c:v>
                </c:pt>
                <c:pt idx="2">
                  <c:v>7.7</c:v>
                </c:pt>
                <c:pt idx="3">
                  <c:v>9</c:v>
                </c:pt>
                <c:pt idx="4">
                  <c:v>5.7</c:v>
                </c:pt>
                <c:pt idx="5">
                  <c:v>6.5</c:v>
                </c:pt>
                <c:pt idx="6">
                  <c:v>9</c:v>
                </c:pt>
                <c:pt idx="7">
                  <c:v>7.5</c:v>
                </c:pt>
                <c:pt idx="8">
                  <c:v>6</c:v>
                </c:pt>
                <c:pt idx="9">
                  <c:v>9.3000000000000007</c:v>
                </c:pt>
                <c:pt idx="10">
                  <c:v>8</c:v>
                </c:pt>
                <c:pt idx="11">
                  <c:v>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928896"/>
        <c:axId val="182930432"/>
      </c:barChart>
      <c:catAx>
        <c:axId val="18292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930432"/>
        <c:crosses val="autoZero"/>
        <c:auto val="1"/>
        <c:lblAlgn val="ctr"/>
        <c:lblOffset val="100"/>
        <c:noMultiLvlLbl val="0"/>
      </c:catAx>
      <c:valAx>
        <c:axId val="1829304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292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группы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0"/>
                  <c:y val="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0718947477468145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6.2156842432404434E-3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Боровая СОШ</c:v>
                </c:pt>
                <c:pt idx="1">
                  <c:v>Верхневязовская СОШ</c:v>
                </c:pt>
                <c:pt idx="2">
                  <c:v>Державинская СОШ</c:v>
                </c:pt>
                <c:pt idx="3">
                  <c:v>Елшанская Первая</c:v>
                </c:pt>
                <c:pt idx="4">
                  <c:v>Жилинская СОШ</c:v>
                </c:pt>
                <c:pt idx="5">
                  <c:v>Искровская СОШ</c:v>
                </c:pt>
                <c:pt idx="6">
                  <c:v>Новоалександровская СОШ</c:v>
                </c:pt>
                <c:pt idx="7">
                  <c:v>Палимовская СОШ</c:v>
                </c:pt>
                <c:pt idx="8">
                  <c:v>Подколкинская СОШ</c:v>
                </c:pt>
                <c:pt idx="9">
                  <c:v>Сухореченская СОШ</c:v>
                </c:pt>
                <c:pt idx="10">
                  <c:v>Троицкая СОШ</c:v>
                </c:pt>
                <c:pt idx="11">
                  <c:v>Тупиковская СОШ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</c:v>
                </c:pt>
                <c:pt idx="1">
                  <c:v>0.33300000000000002</c:v>
                </c:pt>
                <c:pt idx="2">
                  <c:v>0</c:v>
                </c:pt>
                <c:pt idx="3">
                  <c:v>0</c:v>
                </c:pt>
                <c:pt idx="4">
                  <c:v>0.33300000000000002</c:v>
                </c:pt>
                <c:pt idx="5">
                  <c:v>0.25</c:v>
                </c:pt>
                <c:pt idx="6">
                  <c:v>0</c:v>
                </c:pt>
                <c:pt idx="7">
                  <c:v>0.3</c:v>
                </c:pt>
                <c:pt idx="8">
                  <c:v>0.33300000000000002</c:v>
                </c:pt>
                <c:pt idx="9">
                  <c:v>0</c:v>
                </c:pt>
                <c:pt idx="10">
                  <c:v>0</c:v>
                </c:pt>
                <c:pt idx="11">
                  <c:v>0.125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Боровая СОШ</c:v>
                </c:pt>
                <c:pt idx="1">
                  <c:v>Верхневязовская СОШ</c:v>
                </c:pt>
                <c:pt idx="2">
                  <c:v>Державинская СОШ</c:v>
                </c:pt>
                <c:pt idx="3">
                  <c:v>Елшанская Первая</c:v>
                </c:pt>
                <c:pt idx="4">
                  <c:v>Жилинская СОШ</c:v>
                </c:pt>
                <c:pt idx="5">
                  <c:v>Искровская СОШ</c:v>
                </c:pt>
                <c:pt idx="6">
                  <c:v>Новоалександровская СОШ</c:v>
                </c:pt>
                <c:pt idx="7">
                  <c:v>Палимовская СОШ</c:v>
                </c:pt>
                <c:pt idx="8">
                  <c:v>Подколкинская СОШ</c:v>
                </c:pt>
                <c:pt idx="9">
                  <c:v>Сухореченская СОШ</c:v>
                </c:pt>
                <c:pt idx="10">
                  <c:v>Троицкая СОШ</c:v>
                </c:pt>
                <c:pt idx="11">
                  <c:v>Тупиковская СОШ</c:v>
                </c:pt>
              </c:strCache>
            </c:strRef>
          </c:cat>
          <c:val>
            <c:numRef>
              <c:f>Лист1!$C$2:$C$13</c:f>
              <c:numCache>
                <c:formatCode>0.0%</c:formatCode>
                <c:ptCount val="12"/>
                <c:pt idx="0">
                  <c:v>1</c:v>
                </c:pt>
                <c:pt idx="1">
                  <c:v>0.66700000000000004</c:v>
                </c:pt>
                <c:pt idx="2">
                  <c:v>1</c:v>
                </c:pt>
                <c:pt idx="3">
                  <c:v>0.83299999999999996</c:v>
                </c:pt>
                <c:pt idx="4">
                  <c:v>0.66700000000000004</c:v>
                </c:pt>
                <c:pt idx="5">
                  <c:v>0.75</c:v>
                </c:pt>
                <c:pt idx="6">
                  <c:v>0.75</c:v>
                </c:pt>
                <c:pt idx="7">
                  <c:v>0.7</c:v>
                </c:pt>
                <c:pt idx="8">
                  <c:v>0.66700000000000004</c:v>
                </c:pt>
                <c:pt idx="9">
                  <c:v>0.66700000000000004</c:v>
                </c:pt>
                <c:pt idx="10">
                  <c:v>1</c:v>
                </c:pt>
                <c:pt idx="11">
                  <c:v>0.875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базов-перех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1.864705272972125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Боровая СОШ</c:v>
                </c:pt>
                <c:pt idx="1">
                  <c:v>Верхневязовская СОШ</c:v>
                </c:pt>
                <c:pt idx="2">
                  <c:v>Державинская СОШ</c:v>
                </c:pt>
                <c:pt idx="3">
                  <c:v>Елшанская Первая</c:v>
                </c:pt>
                <c:pt idx="4">
                  <c:v>Жилинская СОШ</c:v>
                </c:pt>
                <c:pt idx="5">
                  <c:v>Искровская СОШ</c:v>
                </c:pt>
                <c:pt idx="6">
                  <c:v>Новоалександровская СОШ</c:v>
                </c:pt>
                <c:pt idx="7">
                  <c:v>Палимовская СОШ</c:v>
                </c:pt>
                <c:pt idx="8">
                  <c:v>Подколкинская СОШ</c:v>
                </c:pt>
                <c:pt idx="9">
                  <c:v>Сухореченская СОШ</c:v>
                </c:pt>
                <c:pt idx="10">
                  <c:v>Троицкая СОШ</c:v>
                </c:pt>
                <c:pt idx="11">
                  <c:v>Тупиковская СОШ</c:v>
                </c:pt>
              </c:strCache>
            </c:strRef>
          </c:cat>
          <c:val>
            <c:numRef>
              <c:f>Лист1!$D$2:$D$13</c:f>
              <c:numCache>
                <c:formatCode>0.0%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0.16700000000000001</c:v>
                </c:pt>
                <c:pt idx="4">
                  <c:v>0</c:v>
                </c:pt>
                <c:pt idx="5">
                  <c:v>0</c:v>
                </c:pt>
                <c:pt idx="6">
                  <c:v>0.25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повышен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2.3809523809523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359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3809523809523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5968596488340578E-17"/>
                  <c:y val="-1.984126984126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0718947477468145E-3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8.2875789909871052E-3"/>
                  <c:y val="-1.984126984126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503263234227702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Боровая СОШ</c:v>
                </c:pt>
                <c:pt idx="1">
                  <c:v>Верхневязовская СОШ</c:v>
                </c:pt>
                <c:pt idx="2">
                  <c:v>Державинская СОШ</c:v>
                </c:pt>
                <c:pt idx="3">
                  <c:v>Елшанская Первая</c:v>
                </c:pt>
                <c:pt idx="4">
                  <c:v>Жилинская СОШ</c:v>
                </c:pt>
                <c:pt idx="5">
                  <c:v>Искровская СОШ</c:v>
                </c:pt>
                <c:pt idx="6">
                  <c:v>Новоалександровская СОШ</c:v>
                </c:pt>
                <c:pt idx="7">
                  <c:v>Палимовская СОШ</c:v>
                </c:pt>
                <c:pt idx="8">
                  <c:v>Подколкинская СОШ</c:v>
                </c:pt>
                <c:pt idx="9">
                  <c:v>Сухореченская СОШ</c:v>
                </c:pt>
                <c:pt idx="10">
                  <c:v>Троицкая СОШ</c:v>
                </c:pt>
                <c:pt idx="11">
                  <c:v>Тупиковская СОШ</c:v>
                </c:pt>
              </c:strCache>
            </c:strRef>
          </c:cat>
          <c:val>
            <c:numRef>
              <c:f>Лист1!$E$2:$E$13</c:f>
              <c:numCache>
                <c:formatCode>0.0%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0.33300000000000002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147520"/>
        <c:axId val="183169792"/>
      </c:barChart>
      <c:catAx>
        <c:axId val="18314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169792"/>
        <c:crosses val="autoZero"/>
        <c:auto val="1"/>
        <c:lblAlgn val="ctr"/>
        <c:lblOffset val="100"/>
        <c:noMultiLvlLbl val="0"/>
      </c:catAx>
      <c:valAx>
        <c:axId val="183169792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8314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Самсонова</cp:lastModifiedBy>
  <cp:revision>16</cp:revision>
  <dcterms:created xsi:type="dcterms:W3CDTF">2018-10-26T19:44:00Z</dcterms:created>
  <dcterms:modified xsi:type="dcterms:W3CDTF">2018-10-28T16:45:00Z</dcterms:modified>
</cp:coreProperties>
</file>