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94" w:rsidRPr="00E76A6D" w:rsidRDefault="00514E94" w:rsidP="00E76A6D">
      <w:pPr>
        <w:pStyle w:val="a3"/>
        <w:jc w:val="center"/>
        <w:rPr>
          <w:b/>
          <w:bCs/>
          <w:sz w:val="28"/>
        </w:rPr>
      </w:pPr>
      <w:r w:rsidRPr="00514E94">
        <w:rPr>
          <w:b/>
          <w:bCs/>
          <w:sz w:val="28"/>
        </w:rPr>
        <w:t xml:space="preserve">Методические рекомендации </w:t>
      </w:r>
      <w:r w:rsidR="00E76A6D">
        <w:rPr>
          <w:b/>
          <w:bCs/>
          <w:sz w:val="28"/>
        </w:rPr>
        <w:t xml:space="preserve">                                                                                                             </w:t>
      </w:r>
      <w:r w:rsidRPr="00514E94">
        <w:rPr>
          <w:b/>
          <w:bCs/>
          <w:sz w:val="28"/>
        </w:rPr>
        <w:t>по организации деятельности учреждений образования по воспитанию патриотизма, толерантности и профилактике экстремизма</w:t>
      </w:r>
      <w:r>
        <w:rPr>
          <w:sz w:val="28"/>
        </w:rPr>
        <w:t xml:space="preserve"> </w:t>
      </w:r>
      <w:r w:rsidR="00E76A6D">
        <w:rPr>
          <w:sz w:val="28"/>
        </w:rPr>
        <w:t xml:space="preserve">                                      </w:t>
      </w:r>
      <w:r w:rsidRPr="00514E94">
        <w:rPr>
          <w:b/>
          <w:bCs/>
          <w:sz w:val="28"/>
        </w:rPr>
        <w:t>в молодежной среде</w:t>
      </w:r>
    </w:p>
    <w:p w:rsidR="00514E94" w:rsidRPr="00514E94" w:rsidRDefault="00BB55B1" w:rsidP="00514E94">
      <w:pPr>
        <w:pStyle w:val="a3"/>
        <w:jc w:val="both"/>
        <w:rPr>
          <w:sz w:val="28"/>
        </w:rPr>
      </w:pPr>
      <w:r>
        <w:rPr>
          <w:sz w:val="28"/>
        </w:rPr>
        <w:t xml:space="preserve">    </w:t>
      </w:r>
      <w:bookmarkStart w:id="0" w:name="_GoBack"/>
      <w:bookmarkEnd w:id="0"/>
      <w:r w:rsidR="00514E94" w:rsidRPr="00514E94">
        <w:rPr>
          <w:sz w:val="28"/>
        </w:rPr>
        <w:t>Россия по своим историческим основам является многонациональным и многоконфессиональным государством.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И в Российской империи, и в Советском Союзе сосуществовали разные культуры, образуя постепенно единый сплав – культуру единой России, основанную на принципе единства многообразия.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 эпоху перемен, вызванных радикальными преобразованиями социально-экономической сущности государства, распадом Советского Союза, обострились скрытые прежде противоречия, начала проявляться национальная рознь.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 современных условиях, на фоне экономического кризиса создается дополнительная почва для различного рода конфликтов, в которых межнациональные конфликты могут занять одно из первых мест.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По данным компетентных органов в России растет количество преступлений на национальной почве, случаев проявлений «бытового» национализма и ксенофобии. Периодически в том или ином регионе прокатывается волна уличных акций под националистическими лозунгами.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 связи с этим совершенно очевидно, что принципы толерантности необходимо целенаправленно формировать, и, прежде всего, среди подростков и молодежи.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От детей, которые приходят к нам сегодня, завтра будет зависеть безопасность и благополучие государства.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Очевидно, что воспитание патриотических чувств – социальная потребность современного российского общества. Укрепление и поддержка чувства национального достоинства - комплексная работа, включающая в себя духовно-нравственное воспитание, формирование гражданского сознания и национального самосознания, исторического мышления и многое другое.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 xml:space="preserve">В виду специфики своей деятельности </w:t>
      </w:r>
      <w:r w:rsidRPr="00514E94">
        <w:rPr>
          <w:b/>
          <w:bCs/>
          <w:sz w:val="28"/>
        </w:rPr>
        <w:t>учреждения образования</w:t>
      </w:r>
      <w:r w:rsidRPr="00514E94">
        <w:rPr>
          <w:sz w:val="28"/>
        </w:rPr>
        <w:t xml:space="preserve"> обладают большим потенциалом в формировании ценностных ориентиров населения, воспитании полноценной личности и профилактике негативных общественных явлений. Эффективным направлением становится нравственно-эстетическое развитие молодежи, культурное межнациональное взаимодействие, воспитание толерантного отношения к представителям других конфессий и народностей.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lastRenderedPageBreak/>
        <w:t xml:space="preserve">Для русского языка слово </w:t>
      </w:r>
      <w:r w:rsidRPr="00514E94">
        <w:rPr>
          <w:b/>
          <w:bCs/>
          <w:sz w:val="28"/>
        </w:rPr>
        <w:t>«толерантность»</w:t>
      </w:r>
      <w:r w:rsidRPr="00514E94">
        <w:rPr>
          <w:sz w:val="28"/>
        </w:rPr>
        <w:t xml:space="preserve"> относительно новое. Четкого и однозначного толкования это понятие не имеет. Чаще всего термин объясняется как «терпимость» - способность терпеть что-то или кого-то, быть выдержанным, выносливым, стойким, уметь мириться с существованием чего-либо, кого-либо, считаться с мнением других, быть снисходительным.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Воспитание толерантного сознания предполагает соблюдение ряда условий, среди которых - уважение достоинств каждого человека, право на сохранение индивидуальности; изучение других людей, понимание их, интерес к ним; акцентирование внимания на объединяющих, а не разъединяющих людей факторах.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Важно отметить, что толерантность не противоречит гражданскому общероссийскому патриотизму. На терпимое отношение к чужой культуре и вере способен только человек, считающий для себя базисной ценностью свой народ, его благо и его право на самобытность. Ценить другой народ может лишь тот, кто с истинным уважением относится к культуре собственного народа и его самобытным традициям.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У толерантности, терпимости существует обратная сторона. Наиболее тяжелыми ее проявлениями являются: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  <w:u w:val="single"/>
        </w:rPr>
        <w:t xml:space="preserve">Геноцид </w:t>
      </w:r>
      <w:r w:rsidRPr="00514E94">
        <w:rPr>
          <w:sz w:val="28"/>
        </w:rPr>
        <w:t>– истребление отдельных групп населения по расовым, национальным или религиозным мотивам.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  <w:u w:val="single"/>
        </w:rPr>
        <w:t xml:space="preserve">Расизм </w:t>
      </w:r>
      <w:r w:rsidRPr="00514E94">
        <w:rPr>
          <w:sz w:val="28"/>
        </w:rPr>
        <w:t>– отрицание прав человека на основании расовой принадлежности, исходящее из предпосылки о превосходстве одних рас над другими.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  <w:u w:val="single"/>
        </w:rPr>
        <w:t>Ксенофобия</w:t>
      </w:r>
      <w:r w:rsidRPr="00514E94">
        <w:rPr>
          <w:sz w:val="28"/>
        </w:rPr>
        <w:t xml:space="preserve"> – боязнь иностранцев и представителей других культур вообще, неприязнь к ним, убежденность в том, что «чужие» могут нанести обществу (человеку) вред.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  <w:u w:val="single"/>
        </w:rPr>
        <w:t>Этноцентризм</w:t>
      </w:r>
      <w:r w:rsidRPr="00514E94">
        <w:rPr>
          <w:sz w:val="28"/>
        </w:rPr>
        <w:t xml:space="preserve"> – отчуждение других по причине их принадлежности к иной культуре или по причине употребления ими другого языка, основанное на представлении о том, что одни культуры являются более ценными и развитыми, чем другие.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  <w:u w:val="single"/>
        </w:rPr>
        <w:t>Экстремизм</w:t>
      </w:r>
      <w:r w:rsidRPr="00514E94">
        <w:rPr>
          <w:sz w:val="28"/>
        </w:rPr>
        <w:t xml:space="preserve"> – приверженность к крайним взглядам и мерам (обычно в политике).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 соответствии с Федеральным законом от 25.07.2002 г. № 114-ФЗ «О противодействии экстремистской деятельности», экстремистская деятельность (экстремизм) – это: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публичное оправдание терроризма и иная террористическая деятельность;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возбуждение социальной, расовой, национальной или религиозной розни;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организация и подготовка указанных деяний, а также подстрекательство к их осуществлению;</w:t>
      </w:r>
    </w:p>
    <w:p w:rsidR="00514E94" w:rsidRPr="00514E94" w:rsidRDefault="00514E94" w:rsidP="00514E94">
      <w:pPr>
        <w:pStyle w:val="a3"/>
        <w:numPr>
          <w:ilvl w:val="0"/>
          <w:numId w:val="1"/>
        </w:numPr>
        <w:jc w:val="both"/>
        <w:rPr>
          <w:sz w:val="28"/>
        </w:rPr>
      </w:pPr>
      <w:r w:rsidRPr="00514E94">
        <w:rPr>
          <w:sz w:val="28"/>
        </w:rPr>
        <w:t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 xml:space="preserve">В целях более грамотной организации деятельности по профилактике экстремизма в молодёжной среде следует различать </w:t>
      </w:r>
      <w:r w:rsidRPr="00514E94">
        <w:rPr>
          <w:b/>
          <w:bCs/>
          <w:sz w:val="28"/>
        </w:rPr>
        <w:t xml:space="preserve">группировки </w:t>
      </w:r>
      <w:r w:rsidRPr="00514E94">
        <w:rPr>
          <w:b/>
          <w:bCs/>
          <w:sz w:val="28"/>
        </w:rPr>
        <w:lastRenderedPageBreak/>
        <w:t>экстремистской направленности</w:t>
      </w:r>
      <w:r w:rsidRPr="00514E94">
        <w:rPr>
          <w:sz w:val="28"/>
        </w:rPr>
        <w:t xml:space="preserve"> от неформальных молодёжных объединений.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В неформальных объединениях отсутствует четкое членство и их принято рассматривать, как формирования, объединяющие в себе молодёжь по признаку субкультуры. Почти все существующие неформальные подростково-молодёжные объединения (за исключением радикалов), можно отнести к категории досуговых, то есть ориентированных, главным образом, на свободное времяпрепровождение.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Экстремистские (радикальные) организации обычно декларируют, против чего они борются, и какие законные и (или) незаконные методы они собираются использовать. Так, например, группировки «скинхедов» образуются, в большинстве случаев, из числа молодёжи, проживающей в одном микрорайоне либо обучающейся в одном учебном заведении.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«Неформальные» лидеры, имеющие первоначально хулиганские мотивы совершения противоправных действий в отношении иностранных граждан, объединяют вокруг себя молодёжь, впоследствии, пропагандируя идеологию радикальных структур, подстрекают лиц, не имеющих устойчивого мировоззрения, к совершению преступлений на национальной почве и расовой вражде.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Специалисты отмечают, что наиболее уязвимой средой для проникновения идей экстремизма являются школьники с ещё несформировавшейся и легко поддающейся влиянию психикой.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Задачей органов образования в деле формирования толерантности и профилактики экстремизма в межнациональных отношениях является:</w:t>
      </w:r>
    </w:p>
    <w:p w:rsidR="00514E94" w:rsidRPr="00514E94" w:rsidRDefault="00514E94" w:rsidP="00514E94">
      <w:pPr>
        <w:pStyle w:val="a3"/>
        <w:numPr>
          <w:ilvl w:val="0"/>
          <w:numId w:val="2"/>
        </w:numPr>
        <w:jc w:val="both"/>
        <w:rPr>
          <w:sz w:val="28"/>
        </w:rPr>
      </w:pPr>
      <w:r w:rsidRPr="00514E94">
        <w:rPr>
          <w:sz w:val="28"/>
        </w:rPr>
        <w:t>формирование национально-этнической толерантности как одного из инструментов борьбы с экстремизмом;</w:t>
      </w:r>
    </w:p>
    <w:p w:rsidR="00514E94" w:rsidRPr="00514E94" w:rsidRDefault="00514E94" w:rsidP="00514E94">
      <w:pPr>
        <w:pStyle w:val="a3"/>
        <w:numPr>
          <w:ilvl w:val="0"/>
          <w:numId w:val="2"/>
        </w:numPr>
        <w:jc w:val="both"/>
        <w:rPr>
          <w:sz w:val="28"/>
        </w:rPr>
      </w:pPr>
      <w:r w:rsidRPr="00514E94">
        <w:rPr>
          <w:sz w:val="28"/>
        </w:rPr>
        <w:t>гармонизация межнациональных и этнокультурных отношений;</w:t>
      </w:r>
    </w:p>
    <w:p w:rsidR="00514E94" w:rsidRPr="00514E94" w:rsidRDefault="00514E94" w:rsidP="00514E94">
      <w:pPr>
        <w:pStyle w:val="a3"/>
        <w:numPr>
          <w:ilvl w:val="0"/>
          <w:numId w:val="2"/>
        </w:numPr>
        <w:jc w:val="both"/>
        <w:rPr>
          <w:sz w:val="28"/>
        </w:rPr>
      </w:pPr>
      <w:r w:rsidRPr="00514E94">
        <w:rPr>
          <w:sz w:val="28"/>
        </w:rPr>
        <w:t>создание в обществе атмосферы уважения к культурным и нравственным ценностям каждого народа;</w:t>
      </w:r>
    </w:p>
    <w:p w:rsidR="00514E94" w:rsidRPr="00514E94" w:rsidRDefault="00514E94" w:rsidP="00514E94">
      <w:pPr>
        <w:pStyle w:val="a3"/>
        <w:numPr>
          <w:ilvl w:val="0"/>
          <w:numId w:val="2"/>
        </w:numPr>
        <w:jc w:val="both"/>
        <w:rPr>
          <w:sz w:val="28"/>
        </w:rPr>
      </w:pPr>
      <w:r w:rsidRPr="00514E94">
        <w:rPr>
          <w:sz w:val="28"/>
        </w:rPr>
        <w:t>формирование интереса у детей к культуре, обычаям и традициям своего народа, а также представителей других национальностей;</w:t>
      </w:r>
    </w:p>
    <w:p w:rsidR="00514E94" w:rsidRPr="00514E94" w:rsidRDefault="00514E94" w:rsidP="00514E94">
      <w:pPr>
        <w:pStyle w:val="a3"/>
        <w:numPr>
          <w:ilvl w:val="0"/>
          <w:numId w:val="2"/>
        </w:numPr>
        <w:jc w:val="both"/>
        <w:rPr>
          <w:sz w:val="28"/>
        </w:rPr>
      </w:pPr>
      <w:r w:rsidRPr="00514E94">
        <w:rPr>
          <w:sz w:val="28"/>
        </w:rPr>
        <w:t>создание условий для межнационального общения в образовательном учреждении, содействие укреплению межнациональных культурных связей.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Реализуя данные направления, органы и учреждения образования:</w:t>
      </w:r>
    </w:p>
    <w:p w:rsidR="00514E94" w:rsidRPr="00514E94" w:rsidRDefault="00514E94" w:rsidP="00514E94">
      <w:pPr>
        <w:pStyle w:val="a3"/>
        <w:numPr>
          <w:ilvl w:val="0"/>
          <w:numId w:val="3"/>
        </w:numPr>
        <w:jc w:val="both"/>
        <w:rPr>
          <w:sz w:val="28"/>
        </w:rPr>
      </w:pPr>
      <w:r w:rsidRPr="00514E94">
        <w:rPr>
          <w:sz w:val="28"/>
        </w:rPr>
        <w:t>осуществляют тесное взаимодействие с национально-культурными общественными объединениями и другими социальными институтами, ведущими работу в сфере национально-культурной политики;</w:t>
      </w:r>
    </w:p>
    <w:p w:rsidR="00514E94" w:rsidRPr="00514E94" w:rsidRDefault="00514E94" w:rsidP="00514E94">
      <w:pPr>
        <w:pStyle w:val="a3"/>
        <w:numPr>
          <w:ilvl w:val="0"/>
          <w:numId w:val="3"/>
        </w:numPr>
        <w:jc w:val="both"/>
        <w:rPr>
          <w:sz w:val="28"/>
        </w:rPr>
      </w:pPr>
      <w:r w:rsidRPr="00514E94">
        <w:rPr>
          <w:sz w:val="28"/>
        </w:rPr>
        <w:lastRenderedPageBreak/>
        <w:t>организуют подготовку и проведение школьных фестивалей, конкурсов, выставок, традиционных национальных праздников, Дней национальных культур;</w:t>
      </w:r>
    </w:p>
    <w:p w:rsidR="00514E94" w:rsidRPr="00514E94" w:rsidRDefault="00514E94" w:rsidP="00514E94">
      <w:pPr>
        <w:pStyle w:val="a3"/>
        <w:numPr>
          <w:ilvl w:val="0"/>
          <w:numId w:val="3"/>
        </w:numPr>
        <w:jc w:val="both"/>
        <w:rPr>
          <w:sz w:val="28"/>
        </w:rPr>
      </w:pPr>
      <w:r w:rsidRPr="00514E94">
        <w:rPr>
          <w:sz w:val="28"/>
        </w:rPr>
        <w:t>проводят мероприятия по повышению квалификации специалистов, работающих в сфере национальной проблематики;</w:t>
      </w:r>
    </w:p>
    <w:p w:rsidR="00514E94" w:rsidRPr="00514E94" w:rsidRDefault="00514E94" w:rsidP="00514E94">
      <w:pPr>
        <w:pStyle w:val="a3"/>
        <w:numPr>
          <w:ilvl w:val="0"/>
          <w:numId w:val="3"/>
        </w:numPr>
        <w:jc w:val="both"/>
        <w:rPr>
          <w:sz w:val="28"/>
        </w:rPr>
      </w:pPr>
      <w:r w:rsidRPr="00514E94">
        <w:rPr>
          <w:sz w:val="28"/>
        </w:rPr>
        <w:t>ведут поиск, изучение и сохранение лучших образцов национального народного творчества;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Основными содержательными направлениями при организации деятельности учреждений образования по формированию у молодежи принципов патриотизма, толерантности и профилактике экстремизма являются: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правовое просвещение молодежи;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пропаганда историко-культурного наследия народов, населяющих Ростовскую область;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межнационального культурного общения, межконфессионального диалога.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способствование самоидентификации детей и молодежи в качестве россиянина – наследника, носителя и продолжателя традиций многонациональной культуры народов России.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Основными формами работы по реализации данных направлений для учреждений образования являются: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познавательно-игровые программы, кинолектории, круглые столы по правовому просвещению;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работы клубных объединений гражданско-патриотической направленности на базе образовательных учреждений и учреждений дополнительного образования;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поддержка деятельности социально-ориентированных клубных объединений;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фестивали, слеты, смотры клубов гражданско-патриотической направленности;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праздники, посвященные дням воинской славы и памятным датам России;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фестивали и праздники национальных культур, объединяющие представителей различных народов, проживающих в районе;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дни национальных культур.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lastRenderedPageBreak/>
        <w:t xml:space="preserve">Для реализации </w:t>
      </w:r>
      <w:r w:rsidRPr="00514E94">
        <w:rPr>
          <w:b/>
          <w:bCs/>
          <w:sz w:val="28"/>
        </w:rPr>
        <w:t>библиотечных программ</w:t>
      </w:r>
      <w:r w:rsidRPr="00514E94">
        <w:rPr>
          <w:sz w:val="28"/>
        </w:rPr>
        <w:t xml:space="preserve"> можно использовать разные формы работы: литературные беседы, викторины и игры, обзоры и презентации книг, интеллектуальные игры, игры-путешествия, книжные выставки, праздники, фестивали, театрализованные представления, дни национальной литературы (книги).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Основными темами и проблемами, на которые могут акцентировать внимание библиотеки, являются: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историческое прошлое России (исторические события и выдающиеся деятели),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государственное устройство и символы России,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национальные праздники и обряды,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литература и искусство России,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природа России и экология,</w:t>
      </w:r>
    </w:p>
    <w:p w:rsidR="00514E94" w:rsidRPr="00514E94" w:rsidRDefault="00514E94" w:rsidP="00514E94">
      <w:pPr>
        <w:pStyle w:val="a3"/>
        <w:numPr>
          <w:ilvl w:val="0"/>
          <w:numId w:val="4"/>
        </w:numPr>
        <w:jc w:val="both"/>
        <w:rPr>
          <w:sz w:val="28"/>
        </w:rPr>
      </w:pPr>
      <w:r w:rsidRPr="00514E94">
        <w:rPr>
          <w:sz w:val="28"/>
        </w:rPr>
        <w:t>краеведение.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При воспитании толерантности нужно учитывать, что путь к ней лежит через понимание многообразия мира людей и культур. И в этом плане полезными будут книги серии «Детский проект Л. Улицкой «Другой, другие, о других». Книга становится мостом, соединяющим народы, людей, читателей.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 xml:space="preserve">Деятельность школьных </w:t>
      </w:r>
      <w:r w:rsidRPr="00514E94">
        <w:rPr>
          <w:b/>
          <w:bCs/>
          <w:sz w:val="28"/>
        </w:rPr>
        <w:t xml:space="preserve">музеев </w:t>
      </w:r>
      <w:r w:rsidRPr="00514E94">
        <w:rPr>
          <w:sz w:val="28"/>
        </w:rPr>
        <w:t>по воспитанию молодежи в духе принципов патриотизма и толерантности, как правило, осуществляется в двух основных направлениях: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b/>
          <w:bCs/>
          <w:sz w:val="28"/>
        </w:rPr>
        <w:t>1. Экспозиционная работа: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</w:t>
      </w:r>
      <w:r w:rsidRPr="00514E94">
        <w:rPr>
          <w:b/>
          <w:bCs/>
          <w:sz w:val="28"/>
        </w:rPr>
        <w:t xml:space="preserve"> </w:t>
      </w:r>
      <w:r w:rsidRPr="00514E94">
        <w:rPr>
          <w:sz w:val="28"/>
        </w:rPr>
        <w:t>создание тематических выставок по этнографии местных народов, истории различных конфессий, национально-культурных обществ и автономий;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выставок по изобразительному и декоративно-прикладному искусству, отражающих культуру разных национальностей;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передвижных тематических выставок в учебных заведениях;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создание отдельных тематических комплексов или разделов в стационарных экспозициях;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совместных выставок с национальными обществами и национально-культурными автономиями.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b/>
          <w:bCs/>
          <w:sz w:val="28"/>
        </w:rPr>
        <w:t>2. Культурно-образовательная деятельность: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lastRenderedPageBreak/>
        <w:t>- разработка и проведение тематических экскурсий, музейных занятий и программ по патриотическому воспитанию, в духе принципов толерантности, ориентированных на школьников;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организация и проведение на базе музеев круглых столов, семинаров и мероприятий совместно с представителями образовательных учреждений, национальных обществ, молодежных организаций;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выступления и публикации в средствах массовой информации по данной проблематике на основе исторических и краеведческих источников, с опорой на имеющиеся в музее материалы и предметы;</w:t>
      </w:r>
    </w:p>
    <w:p w:rsid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- новая форма сотрудничества с образовательными учреждениями - школьный урок в музее - позволяет использовать образовательный потенциал муз</w:t>
      </w:r>
      <w:r>
        <w:rPr>
          <w:sz w:val="28"/>
        </w:rPr>
        <w:t>ея гораздо полнее и эффективнее;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>
        <w:rPr>
          <w:sz w:val="28"/>
        </w:rPr>
        <w:t>- виртуальный музей.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 xml:space="preserve">Важным направлением в организации работы по воспитанию молодежи в духе принципов патриотизма, толерантности и профилактике экстремизма должно стать </w:t>
      </w:r>
      <w:r w:rsidRPr="00514E94">
        <w:rPr>
          <w:b/>
          <w:bCs/>
          <w:sz w:val="28"/>
        </w:rPr>
        <w:t>укрепление взаимодействия</w:t>
      </w:r>
      <w:r w:rsidRPr="00514E94">
        <w:rPr>
          <w:sz w:val="28"/>
        </w:rPr>
        <w:t xml:space="preserve"> с учреждениями различных ведомств, общественными организациями</w:t>
      </w:r>
      <w:r>
        <w:rPr>
          <w:sz w:val="28"/>
        </w:rPr>
        <w:t xml:space="preserve"> (ДОСАФ, Казачество Совет ветеранов района, Женсовет района, волонтёры и участники детской общественной организации района «РАДО»). </w:t>
      </w:r>
      <w:r w:rsidRPr="00514E94">
        <w:rPr>
          <w:sz w:val="28"/>
        </w:rPr>
        <w:t>Механизмами данного взаимодействия могут служить межведомственные планы, комплексные целевые программы, совместные проекты, договоры о сотрудничестве.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Для выработки единых подходов и координации совместных действий всех заинтересованных структур целесообразно регулярно проводить информационно-методические мероприятия - круглые столы, семинары, конференции, совещания.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 xml:space="preserve">Актуальной целевой группой в работе по профилактике экстремизма должны стать </w:t>
      </w:r>
      <w:r w:rsidRPr="00514E94">
        <w:rPr>
          <w:b/>
          <w:bCs/>
          <w:sz w:val="28"/>
        </w:rPr>
        <w:t>мигранты</w:t>
      </w:r>
      <w:r w:rsidRPr="00514E94">
        <w:rPr>
          <w:sz w:val="28"/>
        </w:rPr>
        <w:t>, которые приезжают со своими ценностными установками и определенной культурой. Важно помочь им адаптироваться в определенных социально-культурных условиях и сформировать у учащихся толерантное отношение к этим людям.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Это направление может быть связано с информационной и культурной адаптацией детей и подростков других национальностей, созданием программ межкультурного общения.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t>Кроме того, особое внимание следует обратить на разработку и проведение таких общегосударственных праздников, как Праздник государственного флага Российской Федерации, День Державы, День России, День согласия и примирения, День Конституции и др.</w:t>
      </w:r>
    </w:p>
    <w:p w:rsidR="00514E94" w:rsidRPr="00514E94" w:rsidRDefault="00514E94" w:rsidP="00514E94">
      <w:pPr>
        <w:pStyle w:val="a3"/>
        <w:jc w:val="both"/>
        <w:rPr>
          <w:sz w:val="28"/>
        </w:rPr>
      </w:pPr>
      <w:r w:rsidRPr="00514E94">
        <w:rPr>
          <w:sz w:val="28"/>
        </w:rPr>
        <w:lastRenderedPageBreak/>
        <w:t xml:space="preserve">В последние годы во многих регионах России отмечается также </w:t>
      </w:r>
      <w:r w:rsidRPr="00514E94">
        <w:rPr>
          <w:b/>
          <w:bCs/>
          <w:sz w:val="28"/>
        </w:rPr>
        <w:t>Международный день мира</w:t>
      </w:r>
      <w:r w:rsidRPr="00514E94">
        <w:rPr>
          <w:sz w:val="28"/>
        </w:rPr>
        <w:t xml:space="preserve"> (21 сентября) и </w:t>
      </w:r>
      <w:r w:rsidRPr="00514E94">
        <w:rPr>
          <w:b/>
          <w:bCs/>
          <w:sz w:val="28"/>
        </w:rPr>
        <w:t>Международный день толерантности (</w:t>
      </w:r>
      <w:r w:rsidRPr="00514E94">
        <w:rPr>
          <w:sz w:val="28"/>
        </w:rPr>
        <w:t>16 ноября).</w:t>
      </w:r>
    </w:p>
    <w:p w:rsidR="00514E94" w:rsidRPr="00514E94" w:rsidRDefault="00514E94" w:rsidP="00514E94">
      <w:pPr>
        <w:pStyle w:val="a3"/>
        <w:jc w:val="center"/>
        <w:rPr>
          <w:sz w:val="28"/>
        </w:rPr>
      </w:pPr>
      <w:r w:rsidRPr="00514E94">
        <w:rPr>
          <w:b/>
          <w:bCs/>
          <w:sz w:val="28"/>
        </w:rPr>
        <w:t>Нормативная правовая база,</w:t>
      </w:r>
    </w:p>
    <w:p w:rsidR="00514E94" w:rsidRPr="00514E94" w:rsidRDefault="00514E94" w:rsidP="00514E94">
      <w:pPr>
        <w:pStyle w:val="a3"/>
        <w:jc w:val="center"/>
        <w:rPr>
          <w:sz w:val="28"/>
        </w:rPr>
      </w:pPr>
      <w:r w:rsidRPr="00514E94">
        <w:rPr>
          <w:b/>
          <w:bCs/>
          <w:sz w:val="28"/>
        </w:rPr>
        <w:t>правовые основы формирования культуры толерантности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Декларация принципов толерантности. Утверждена резолюцией 5.61 Генеральной конференции ЮНЕСКО от 16 ноября 1995 года;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Конституция Российской Федерации. Экстремизм во всех своих проявлениях в разной степени, но всегда посягает именно на то, что закрепляет Конституция РФ: основы конституционного строя, права и свободы человека и гражданина, порядок и принципы государственного устройства и местного самоуправления;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Концепция государственной национальной политики Российской Федерации. Утверждена Указом Президента Российской Федерации от 15.06.1996 № 909;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Федеральный закон от 25 июля 2002 года № 114-ФЗ «О противодействии экстремистской деятельности»;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Федеральный закон от 05 июля 2002 года № 112-ФЗ «О внесении изменений и дополнений в законодательные акты Российской Федерации в связи с принятием Федерального закона «О противодействии экстремистской деятельности»;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Федеральный закон от 24 июля 2007 года № 211-ФЗ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экстремизму»;</w:t>
      </w:r>
    </w:p>
    <w:p w:rsidR="00514E94" w:rsidRP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>Указ Президента Российской Федерации от 23 марта 1995 года № 310 (ред. от 03.11.2004) «О мерах по обеспечению согласованных действий органов государственной власти в борьбе с проявлениями фашизма и иных форм политического экстремизма в Российской Федерации»;</w:t>
      </w:r>
    </w:p>
    <w:p w:rsidR="00514E94" w:rsidRDefault="00514E94" w:rsidP="00514E94">
      <w:pPr>
        <w:pStyle w:val="a3"/>
        <w:numPr>
          <w:ilvl w:val="0"/>
          <w:numId w:val="5"/>
        </w:numPr>
        <w:jc w:val="both"/>
        <w:rPr>
          <w:sz w:val="28"/>
        </w:rPr>
      </w:pPr>
      <w:r w:rsidRPr="00514E94">
        <w:rPr>
          <w:sz w:val="28"/>
        </w:rPr>
        <w:t xml:space="preserve">Постановление Правительства Российской Федерации о 18.01.2003 г. № 27 (ред. от 08.12.2008) «Об утверждении Положения о порядке определения перечня организаций и физических лиц, в отношении которых имеются сведения об их участии в экстремистской деятельности, и доведения этого перечня до сведения организаций, осуществляющих операции с денежными </w:t>
      </w:r>
      <w:r w:rsidR="00E76A6D">
        <w:rPr>
          <w:sz w:val="28"/>
        </w:rPr>
        <w:t>средствами или иным имуществом».</w:t>
      </w:r>
    </w:p>
    <w:p w:rsidR="00514E94" w:rsidRDefault="00BB55B1">
      <w:pPr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МОБУ Бузулукского района ЦВР                      И.Э. Карнаухова</w:t>
      </w:r>
    </w:p>
    <w:sectPr w:rsidR="0051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27"/>
    <w:multiLevelType w:val="multilevel"/>
    <w:tmpl w:val="1D88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D2186"/>
    <w:multiLevelType w:val="multilevel"/>
    <w:tmpl w:val="B63EDD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115F"/>
    <w:multiLevelType w:val="multilevel"/>
    <w:tmpl w:val="477835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E6866"/>
    <w:multiLevelType w:val="multilevel"/>
    <w:tmpl w:val="AF7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E653E"/>
    <w:multiLevelType w:val="multilevel"/>
    <w:tmpl w:val="87FAF2F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23F98"/>
    <w:multiLevelType w:val="multilevel"/>
    <w:tmpl w:val="C5BE8B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E763E"/>
    <w:multiLevelType w:val="multilevel"/>
    <w:tmpl w:val="CF160EC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5072D"/>
    <w:multiLevelType w:val="multilevel"/>
    <w:tmpl w:val="FC7EFED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52DE2"/>
    <w:multiLevelType w:val="multilevel"/>
    <w:tmpl w:val="F2181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407D9"/>
    <w:multiLevelType w:val="multilevel"/>
    <w:tmpl w:val="67C42C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54D51"/>
    <w:multiLevelType w:val="multilevel"/>
    <w:tmpl w:val="D0A86E7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85973"/>
    <w:multiLevelType w:val="multilevel"/>
    <w:tmpl w:val="A23C79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E1BB6"/>
    <w:multiLevelType w:val="multilevel"/>
    <w:tmpl w:val="9370C4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936B47"/>
    <w:multiLevelType w:val="multilevel"/>
    <w:tmpl w:val="A33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377AD9"/>
    <w:multiLevelType w:val="multilevel"/>
    <w:tmpl w:val="57909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66A85"/>
    <w:multiLevelType w:val="multilevel"/>
    <w:tmpl w:val="77CC5F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B4363"/>
    <w:multiLevelType w:val="multilevel"/>
    <w:tmpl w:val="BA8C0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E23097"/>
    <w:multiLevelType w:val="multilevel"/>
    <w:tmpl w:val="966E7D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15456"/>
    <w:multiLevelType w:val="multilevel"/>
    <w:tmpl w:val="4F42F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B3C57"/>
    <w:multiLevelType w:val="multilevel"/>
    <w:tmpl w:val="05DC3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8A6BBB"/>
    <w:multiLevelType w:val="multilevel"/>
    <w:tmpl w:val="52200CD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A33E7"/>
    <w:multiLevelType w:val="multilevel"/>
    <w:tmpl w:val="E864DD5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A51B6C"/>
    <w:multiLevelType w:val="multilevel"/>
    <w:tmpl w:val="56043B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515113"/>
    <w:multiLevelType w:val="multilevel"/>
    <w:tmpl w:val="1492AC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035DF7"/>
    <w:multiLevelType w:val="multilevel"/>
    <w:tmpl w:val="0B62227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00DE2"/>
    <w:multiLevelType w:val="multilevel"/>
    <w:tmpl w:val="99F0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9C3048"/>
    <w:multiLevelType w:val="multilevel"/>
    <w:tmpl w:val="E37236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593289"/>
    <w:multiLevelType w:val="multilevel"/>
    <w:tmpl w:val="D0528C2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303FA0"/>
    <w:multiLevelType w:val="multilevel"/>
    <w:tmpl w:val="30C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8205DB"/>
    <w:multiLevelType w:val="multilevel"/>
    <w:tmpl w:val="8A76405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4D41A6"/>
    <w:multiLevelType w:val="multilevel"/>
    <w:tmpl w:val="655AB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0"/>
  </w:num>
  <w:num w:numId="3">
    <w:abstractNumId w:val="3"/>
  </w:num>
  <w:num w:numId="4">
    <w:abstractNumId w:val="13"/>
  </w:num>
  <w:num w:numId="5">
    <w:abstractNumId w:val="28"/>
  </w:num>
  <w:num w:numId="6">
    <w:abstractNumId w:val="3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6"/>
  </w:num>
  <w:num w:numId="16">
    <w:abstractNumId w:val="12"/>
  </w:num>
  <w:num w:numId="17">
    <w:abstractNumId w:val="26"/>
  </w:num>
  <w:num w:numId="18">
    <w:abstractNumId w:val="24"/>
  </w:num>
  <w:num w:numId="19">
    <w:abstractNumId w:val="23"/>
  </w:num>
  <w:num w:numId="20">
    <w:abstractNumId w:val="5"/>
  </w:num>
  <w:num w:numId="21">
    <w:abstractNumId w:val="10"/>
  </w:num>
  <w:num w:numId="22">
    <w:abstractNumId w:val="20"/>
  </w:num>
  <w:num w:numId="23">
    <w:abstractNumId w:val="22"/>
  </w:num>
  <w:num w:numId="24">
    <w:abstractNumId w:val="4"/>
  </w:num>
  <w:num w:numId="25">
    <w:abstractNumId w:val="27"/>
  </w:num>
  <w:num w:numId="26">
    <w:abstractNumId w:val="15"/>
  </w:num>
  <w:num w:numId="27">
    <w:abstractNumId w:val="29"/>
  </w:num>
  <w:num w:numId="28">
    <w:abstractNumId w:val="2"/>
  </w:num>
  <w:num w:numId="29">
    <w:abstractNumId w:val="21"/>
  </w:num>
  <w:num w:numId="30">
    <w:abstractNumId w:val="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99"/>
    <w:rsid w:val="00000799"/>
    <w:rsid w:val="00514E94"/>
    <w:rsid w:val="005561AD"/>
    <w:rsid w:val="00BB55B1"/>
    <w:rsid w:val="00E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0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2438</Words>
  <Characters>13899</Characters>
  <Application>Microsoft Office Word</Application>
  <DocSecurity>0</DocSecurity>
  <Lines>115</Lines>
  <Paragraphs>32</Paragraphs>
  <ScaleCrop>false</ScaleCrop>
  <Company>ROO</Company>
  <LinksUpToDate>false</LinksUpToDate>
  <CharactersWithSpaces>16305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Nevzorova</dc:creator>
  <cp:keywords/>
  <dc:description/>
  <cp:lastModifiedBy>Nevzorova</cp:lastModifiedBy>
  <cp:revision>5</cp:revision>
  <dcterms:created xsi:type="dcterms:W3CDTF">2017-02-07T12:43:00Z</dcterms:created>
  <dcterms:modified xsi:type="dcterms:W3CDTF">2017-02-08T10:30:00Z</dcterms:modified>
</cp:coreProperties>
</file>